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07DE7" w14:textId="40264759" w:rsidR="00F32BC1" w:rsidRPr="00B5257B" w:rsidRDefault="00F32BC1" w:rsidP="00F32BC1">
      <w:pPr>
        <w:tabs>
          <w:tab w:val="center" w:pos="4536"/>
          <w:tab w:val="right" w:pos="8280"/>
          <w:tab w:val="right" w:pos="9639"/>
        </w:tabs>
        <w:ind w:right="2"/>
        <w:rPr>
          <w:rFonts w:ascii="Arial" w:hAnsi="Arial" w:cs="Arial"/>
          <w:b/>
          <w:bCs/>
        </w:rPr>
      </w:pPr>
      <w:r w:rsidRPr="00B5257B">
        <w:rPr>
          <w:rFonts w:ascii="Arial" w:hAnsi="Arial" w:cs="Arial"/>
          <w:b/>
          <w:bCs/>
        </w:rPr>
        <w:t>3GPP TSG RAN WG1 #97</w:t>
      </w:r>
      <w:r w:rsidRPr="00B5257B">
        <w:rPr>
          <w:rFonts w:ascii="Arial" w:hAnsi="Arial" w:cs="Arial"/>
          <w:b/>
          <w:bCs/>
        </w:rPr>
        <w:tab/>
      </w:r>
      <w:r w:rsidRPr="00B5257B">
        <w:rPr>
          <w:rFonts w:ascii="Arial" w:hAnsi="Arial" w:cs="Arial"/>
          <w:b/>
          <w:bCs/>
        </w:rPr>
        <w:tab/>
        <w:t xml:space="preserve">                               </w:t>
      </w:r>
      <w:r w:rsidR="00AD22F9" w:rsidRPr="00AE7AD7">
        <w:rPr>
          <w:rFonts w:ascii="Arial" w:hAnsi="Arial" w:cs="Arial"/>
          <w:b/>
          <w:bCs/>
        </w:rPr>
        <w:t>R1-19073</w:t>
      </w:r>
      <w:r w:rsidR="00AD22F9">
        <w:rPr>
          <w:rFonts w:ascii="Arial" w:hAnsi="Arial" w:cs="Arial"/>
          <w:b/>
          <w:bCs/>
        </w:rPr>
        <w:t>3</w:t>
      </w:r>
      <w:r w:rsidR="00AD22F9">
        <w:rPr>
          <w:rFonts w:ascii="Arial" w:hAnsi="Arial" w:cs="Arial"/>
          <w:b/>
          <w:bCs/>
        </w:rPr>
        <w:t>5</w:t>
      </w:r>
      <w:bookmarkStart w:id="0" w:name="_GoBack"/>
      <w:bookmarkEnd w:id="0"/>
    </w:p>
    <w:p w14:paraId="294AF464" w14:textId="77777777" w:rsidR="00F32BC1" w:rsidRPr="00B5257B" w:rsidRDefault="00F32BC1" w:rsidP="00F32BC1">
      <w:pPr>
        <w:tabs>
          <w:tab w:val="center" w:pos="4536"/>
          <w:tab w:val="right" w:pos="9072"/>
        </w:tabs>
        <w:rPr>
          <w:rFonts w:ascii="Arial" w:eastAsia="MS Mincho" w:hAnsi="Arial" w:cs="Arial"/>
          <w:b/>
          <w:bCs/>
          <w:lang w:eastAsia="ja-JP"/>
        </w:rPr>
      </w:pPr>
      <w:r w:rsidRPr="00B5257B">
        <w:rPr>
          <w:rFonts w:ascii="Arial" w:eastAsia="MS Mincho" w:hAnsi="Arial" w:cs="Arial"/>
          <w:b/>
          <w:bCs/>
          <w:lang w:eastAsia="ja-JP"/>
        </w:rPr>
        <w:t>Reno, USA, May 13</w:t>
      </w:r>
      <w:r w:rsidRPr="00B5257B">
        <w:rPr>
          <w:rFonts w:ascii="Arial" w:eastAsia="MS Mincho" w:hAnsi="Arial" w:cs="Arial"/>
          <w:b/>
          <w:bCs/>
          <w:vertAlign w:val="superscript"/>
          <w:lang w:eastAsia="ja-JP"/>
        </w:rPr>
        <w:t>th</w:t>
      </w:r>
      <w:r w:rsidRPr="00B5257B">
        <w:rPr>
          <w:rFonts w:ascii="Arial" w:eastAsia="MS Mincho" w:hAnsi="Arial" w:cs="Arial"/>
          <w:b/>
          <w:bCs/>
          <w:lang w:eastAsia="ja-JP"/>
        </w:rPr>
        <w:t xml:space="preserve"> – 17</w:t>
      </w:r>
      <w:r w:rsidRPr="00B5257B">
        <w:rPr>
          <w:rFonts w:ascii="Arial" w:eastAsia="MS Mincho" w:hAnsi="Arial" w:cs="Arial"/>
          <w:b/>
          <w:bCs/>
          <w:vertAlign w:val="superscript"/>
          <w:lang w:eastAsia="ja-JP"/>
        </w:rPr>
        <w:t>th</w:t>
      </w:r>
      <w:r w:rsidRPr="00B5257B">
        <w:rPr>
          <w:rFonts w:ascii="Arial" w:eastAsia="MS Mincho" w:hAnsi="Arial" w:cs="Arial"/>
          <w:b/>
          <w:bCs/>
          <w:lang w:eastAsia="ja-JP"/>
        </w:rPr>
        <w:t>,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25E04CEB"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w:t>
      </w:r>
      <w:r w:rsidR="00D85C14">
        <w:rPr>
          <w:sz w:val="22"/>
          <w:szCs w:val="22"/>
        </w:rPr>
        <w:t>2.2</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64D45340" w14:textId="050261E2" w:rsidR="00531215" w:rsidRDefault="003D3C45" w:rsidP="00311702">
      <w:pPr>
        <w:pStyle w:val="3GPPHeader"/>
        <w:rPr>
          <w:sz w:val="22"/>
          <w:szCs w:val="22"/>
        </w:rPr>
      </w:pPr>
      <w:r w:rsidRPr="00A6576F">
        <w:rPr>
          <w:sz w:val="22"/>
          <w:szCs w:val="22"/>
        </w:rPr>
        <w:t>Title:</w:t>
      </w:r>
      <w:r w:rsidR="00E90E49" w:rsidRPr="00A6576F">
        <w:rPr>
          <w:sz w:val="22"/>
          <w:szCs w:val="22"/>
        </w:rPr>
        <w:tab/>
      </w:r>
      <w:r w:rsidR="00531215" w:rsidRPr="00531215">
        <w:rPr>
          <w:sz w:val="22"/>
          <w:szCs w:val="22"/>
        </w:rPr>
        <w:t xml:space="preserve">Considerations on NR </w:t>
      </w:r>
      <w:r w:rsidR="004D1A6A">
        <w:rPr>
          <w:sz w:val="22"/>
          <w:szCs w:val="22"/>
        </w:rPr>
        <w:t xml:space="preserve">V2X </w:t>
      </w:r>
      <w:r w:rsidR="0095766C">
        <w:rPr>
          <w:sz w:val="22"/>
          <w:szCs w:val="22"/>
        </w:rPr>
        <w:t>mode 2</w:t>
      </w:r>
      <w:r w:rsidR="00033B4F">
        <w:rPr>
          <w:sz w:val="22"/>
          <w:szCs w:val="22"/>
        </w:rPr>
        <w:t xml:space="preserve"> </w:t>
      </w:r>
      <w:r w:rsidR="0095766C">
        <w:rPr>
          <w:sz w:val="22"/>
          <w:szCs w:val="22"/>
        </w:rPr>
        <w:t>r</w:t>
      </w:r>
      <w:r w:rsidR="00531215" w:rsidRPr="00531215">
        <w:rPr>
          <w:sz w:val="22"/>
          <w:szCs w:val="22"/>
        </w:rPr>
        <w:t>esource allocation mechanism</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05C438E1"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w:t>
      </w:r>
      <w:r w:rsidR="00847870">
        <w:rPr>
          <w:rFonts w:eastAsia="MS Mincho"/>
          <w:sz w:val="22"/>
          <w:szCs w:val="22"/>
          <w:lang w:eastAsia="ja-JP"/>
        </w:rPr>
        <w:t>Work</w:t>
      </w:r>
      <w:r w:rsidRPr="00A6576F">
        <w:rPr>
          <w:rFonts w:eastAsia="MS Mincho"/>
          <w:sz w:val="22"/>
          <w:szCs w:val="22"/>
          <w:lang w:eastAsia="ja-JP"/>
        </w:rPr>
        <w:t xml:space="preserve"> Item was approved in RAN#8</w:t>
      </w:r>
      <w:r w:rsidR="004D2003">
        <w:rPr>
          <w:rFonts w:eastAsia="MS Mincho"/>
          <w:sz w:val="22"/>
          <w:szCs w:val="22"/>
          <w:lang w:eastAsia="ja-JP"/>
        </w:rPr>
        <w:t xml:space="preserve">3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FC6F85">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FC6F85">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FC6F85">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FC6F85">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0F3CA4AD" w14:textId="0037C6EA" w:rsidR="002F49ED" w:rsidRPr="00A6576F" w:rsidRDefault="001344A3" w:rsidP="004A311F">
      <w:pPr>
        <w:rPr>
          <w:rFonts w:eastAsia="MS Mincho"/>
          <w:sz w:val="22"/>
          <w:szCs w:val="22"/>
          <w:lang w:eastAsia="ja-JP"/>
        </w:rPr>
      </w:pPr>
      <w:r w:rsidRPr="00A6576F">
        <w:rPr>
          <w:rFonts w:eastAsia="MS Mincho"/>
          <w:sz w:val="22"/>
          <w:szCs w:val="22"/>
          <w:lang w:eastAsia="ja-JP"/>
        </w:rPr>
        <w:t xml:space="preserve">One important design goal for NR V2X, similar as LTE V2X, is to support reliable and efficient communications for devices either out of coverage in licensed spectrum or in unlicensed spectrum. </w:t>
      </w:r>
      <w:r w:rsidR="005B45DE" w:rsidRPr="00A6576F">
        <w:rPr>
          <w:rFonts w:eastAsia="MS Mincho"/>
          <w:sz w:val="22"/>
          <w:szCs w:val="22"/>
          <w:lang w:eastAsia="ja-JP"/>
        </w:rPr>
        <w:t xml:space="preserve">In order to support both the periodic and aperiodic traffic, </w:t>
      </w:r>
      <w:r w:rsidR="002F49ED" w:rsidRPr="00A6576F">
        <w:rPr>
          <w:rFonts w:eastAsia="MS Mincho"/>
          <w:sz w:val="22"/>
          <w:szCs w:val="22"/>
          <w:lang w:eastAsia="ja-JP"/>
        </w:rPr>
        <w:t>CCA procedure such as Listen Before Talk (LBT) is one of the most prominent solutions. Unlike NRU design, NR V2X design is required to provide more reliable and lower latency communication due to safety concern and high device movement speed.</w:t>
      </w:r>
    </w:p>
    <w:p w14:paraId="4A2DB5DC" w14:textId="09A662E0" w:rsidR="002F49ED" w:rsidRDefault="002F49ED" w:rsidP="004A311F">
      <w:pPr>
        <w:rPr>
          <w:rFonts w:eastAsia="MS Mincho"/>
          <w:sz w:val="22"/>
          <w:szCs w:val="22"/>
          <w:lang w:eastAsia="ja-JP"/>
        </w:rPr>
      </w:pPr>
    </w:p>
    <w:p w14:paraId="4F2BD423" w14:textId="087B1B6B" w:rsidR="00DB6431" w:rsidRPr="002D78C8" w:rsidRDefault="00DB6431" w:rsidP="004A311F">
      <w:pPr>
        <w:rPr>
          <w:rFonts w:eastAsia="MS Mincho"/>
          <w:sz w:val="22"/>
          <w:szCs w:val="22"/>
          <w:lang w:eastAsia="ja-JP"/>
        </w:rPr>
      </w:pPr>
      <w:r>
        <w:rPr>
          <w:rFonts w:eastAsia="MS Mincho"/>
          <w:sz w:val="22"/>
          <w:szCs w:val="22"/>
          <w:lang w:eastAsia="ja-JP"/>
        </w:rPr>
        <w:t xml:space="preserve">In terms of </w:t>
      </w:r>
      <w:r w:rsidRPr="002D78C8">
        <w:rPr>
          <w:rFonts w:eastAsia="MS Mincho"/>
          <w:sz w:val="22"/>
          <w:szCs w:val="22"/>
          <w:lang w:eastAsia="ja-JP"/>
        </w:rPr>
        <w:t xml:space="preserve">resource allocation, Rel-16 NR V2X agreed to support 2 major resource allocation modes: Mode 1, in which the resources are scheduled by the gNB, similar as LTE V2X mode 3 and Mode 2, in which the resources are scheduled by the UE, similar as LTE V2X mode 4. There are 4 sub-modes discussed within mode 2 with some subtle difference, in which the agreement was that </w:t>
      </w:r>
      <w:r w:rsidRPr="002D78C8">
        <w:rPr>
          <w:sz w:val="22"/>
          <w:szCs w:val="22"/>
        </w:rPr>
        <w:t>Mode-2(b) is not supported/studied as a standalone sidelink resource allocation mode</w:t>
      </w:r>
      <w:r w:rsidRPr="002D78C8">
        <w:rPr>
          <w:rFonts w:eastAsia="MS Mincho"/>
          <w:sz w:val="22"/>
          <w:szCs w:val="22"/>
          <w:lang w:eastAsia="ja-JP"/>
        </w:rPr>
        <w:t xml:space="preserve"> [</w:t>
      </w:r>
      <w:r w:rsidR="00BA15AA" w:rsidRPr="002D78C8">
        <w:rPr>
          <w:rFonts w:eastAsia="MS Mincho"/>
          <w:sz w:val="22"/>
          <w:szCs w:val="22"/>
          <w:lang w:eastAsia="ja-JP"/>
        </w:rPr>
        <w:t>4</w:t>
      </w:r>
      <w:r w:rsidRPr="002D78C8">
        <w:rPr>
          <w:rFonts w:eastAsia="MS Mincho"/>
          <w:sz w:val="22"/>
          <w:szCs w:val="22"/>
          <w:lang w:eastAsia="ja-JP"/>
        </w:rPr>
        <w:t>,</w:t>
      </w:r>
      <w:r w:rsidR="00BA15AA" w:rsidRPr="002D78C8">
        <w:rPr>
          <w:rFonts w:eastAsia="MS Mincho"/>
          <w:sz w:val="22"/>
          <w:szCs w:val="22"/>
          <w:lang w:eastAsia="ja-JP"/>
        </w:rPr>
        <w:t>5</w:t>
      </w:r>
      <w:r w:rsidRPr="002D78C8">
        <w:rPr>
          <w:rFonts w:eastAsia="MS Mincho"/>
          <w:sz w:val="22"/>
          <w:szCs w:val="22"/>
          <w:lang w:eastAsia="ja-JP"/>
        </w:rPr>
        <w:t>]</w:t>
      </w:r>
    </w:p>
    <w:p w14:paraId="3A39496E" w14:textId="42C2D58E" w:rsidR="00DB6431" w:rsidRDefault="00DB6431"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BA67D4" w14:paraId="51C569BF" w14:textId="77777777" w:rsidTr="00BA67D4">
        <w:tc>
          <w:tcPr>
            <w:tcW w:w="9855" w:type="dxa"/>
          </w:tcPr>
          <w:p w14:paraId="55CEF5A5" w14:textId="77777777" w:rsidR="007055C7" w:rsidRPr="007055C7" w:rsidRDefault="007055C7" w:rsidP="007055C7">
            <w:pPr>
              <w:rPr>
                <w:b/>
                <w:sz w:val="22"/>
                <w:szCs w:val="22"/>
                <w:lang w:eastAsia="x-none"/>
              </w:rPr>
            </w:pPr>
            <w:r w:rsidRPr="007055C7">
              <w:rPr>
                <w:sz w:val="22"/>
                <w:szCs w:val="22"/>
                <w:highlight w:val="green"/>
                <w:lang w:eastAsia="x-none"/>
              </w:rPr>
              <w:t>Agreements</w:t>
            </w:r>
            <w:r w:rsidRPr="007055C7">
              <w:rPr>
                <w:b/>
                <w:sz w:val="22"/>
                <w:szCs w:val="22"/>
                <w:lang w:eastAsia="x-none"/>
              </w:rPr>
              <w:t>:</w:t>
            </w:r>
          </w:p>
          <w:p w14:paraId="7FB2AD6E" w14:textId="77777777" w:rsidR="007055C7" w:rsidRPr="007055C7" w:rsidRDefault="007055C7" w:rsidP="007055C7">
            <w:pPr>
              <w:pStyle w:val="3GPPAgreements"/>
              <w:rPr>
                <w:szCs w:val="22"/>
              </w:rPr>
            </w:pPr>
            <w:r w:rsidRPr="007055C7">
              <w:rPr>
                <w:szCs w:val="22"/>
              </w:rPr>
              <w:t>At least two sidelink resource allocation modes are defined for NR-V2X sidelink communication</w:t>
            </w:r>
          </w:p>
          <w:p w14:paraId="04B443C9" w14:textId="77777777" w:rsidR="007055C7" w:rsidRPr="007055C7" w:rsidRDefault="007055C7" w:rsidP="00FC6F85">
            <w:pPr>
              <w:pStyle w:val="3GPPAgreements"/>
              <w:numPr>
                <w:ilvl w:val="1"/>
                <w:numId w:val="14"/>
              </w:numPr>
              <w:rPr>
                <w:szCs w:val="22"/>
              </w:rPr>
            </w:pPr>
            <w:r w:rsidRPr="007055C7">
              <w:rPr>
                <w:szCs w:val="22"/>
              </w:rPr>
              <w:t>Mode 1: Base station schedules sidelink resource(s) to be used by UE for sidelink transmission(s)</w:t>
            </w:r>
          </w:p>
          <w:p w14:paraId="475B7A58" w14:textId="77777777" w:rsidR="007055C7" w:rsidRPr="007055C7" w:rsidRDefault="007055C7" w:rsidP="00FC6F85">
            <w:pPr>
              <w:pStyle w:val="3GPPAgreements"/>
              <w:numPr>
                <w:ilvl w:val="1"/>
                <w:numId w:val="14"/>
              </w:numPr>
              <w:rPr>
                <w:szCs w:val="22"/>
              </w:rPr>
            </w:pPr>
            <w:r w:rsidRPr="007055C7">
              <w:rPr>
                <w:szCs w:val="22"/>
              </w:rPr>
              <w:t>Mode 2: UE determines (i.e. base station does not schedule) sidelink transmission resource(s) within sidelink resources configured by base station/network or pre-configured sidelink resources</w:t>
            </w:r>
          </w:p>
          <w:p w14:paraId="07EE736D" w14:textId="2C475382" w:rsidR="007055C7" w:rsidRPr="007055C7" w:rsidRDefault="007055C7" w:rsidP="007055C7">
            <w:pPr>
              <w:pStyle w:val="3GPPAgreements"/>
              <w:numPr>
                <w:ilvl w:val="0"/>
                <w:numId w:val="0"/>
              </w:numPr>
              <w:ind w:left="284" w:hanging="284"/>
              <w:rPr>
                <w:szCs w:val="22"/>
              </w:rPr>
            </w:pPr>
            <w:r w:rsidRPr="007055C7">
              <w:rPr>
                <w:szCs w:val="22"/>
              </w:rPr>
              <w:t>Notes:</w:t>
            </w:r>
          </w:p>
          <w:p w14:paraId="61CED22B" w14:textId="77777777" w:rsidR="007055C7" w:rsidRPr="007055C7" w:rsidRDefault="007055C7" w:rsidP="00FC6F85">
            <w:pPr>
              <w:pStyle w:val="3GPPAgreements"/>
              <w:numPr>
                <w:ilvl w:val="1"/>
                <w:numId w:val="14"/>
              </w:numPr>
              <w:rPr>
                <w:szCs w:val="22"/>
              </w:rPr>
            </w:pPr>
            <w:r w:rsidRPr="007055C7">
              <w:rPr>
                <w:szCs w:val="22"/>
              </w:rPr>
              <w:t xml:space="preserve">eNB control of NR sidelink and gNB control of LTE sidelink resources will be separately considered in corresponding agenda items. </w:t>
            </w:r>
          </w:p>
          <w:p w14:paraId="5661B6F4" w14:textId="77777777" w:rsidR="007055C7" w:rsidRPr="007055C7" w:rsidRDefault="007055C7" w:rsidP="00FC6F85">
            <w:pPr>
              <w:pStyle w:val="3GPPAgreements"/>
              <w:numPr>
                <w:ilvl w:val="1"/>
                <w:numId w:val="14"/>
              </w:numPr>
              <w:rPr>
                <w:szCs w:val="22"/>
              </w:rPr>
            </w:pPr>
            <w:r w:rsidRPr="007055C7">
              <w:rPr>
                <w:szCs w:val="22"/>
              </w:rPr>
              <w:t>Mode-2 definition covers potential sidelink radio-layer functionality or resource allocation sub-modes (subject to further refinement including merging of some or all of them) where</w:t>
            </w:r>
          </w:p>
          <w:p w14:paraId="7DB487BA" w14:textId="77777777" w:rsidR="007055C7" w:rsidRPr="007055C7" w:rsidRDefault="007055C7" w:rsidP="00FC6F85">
            <w:pPr>
              <w:pStyle w:val="3GPPAgreements"/>
              <w:numPr>
                <w:ilvl w:val="2"/>
                <w:numId w:val="15"/>
              </w:numPr>
              <w:rPr>
                <w:szCs w:val="22"/>
              </w:rPr>
            </w:pPr>
            <w:r w:rsidRPr="007055C7">
              <w:rPr>
                <w:szCs w:val="22"/>
              </w:rPr>
              <w:t>UE autonomously selects sidelink resource for transmission</w:t>
            </w:r>
          </w:p>
          <w:p w14:paraId="11C7E9A7" w14:textId="77777777" w:rsidR="007055C7" w:rsidRPr="007055C7" w:rsidRDefault="007055C7" w:rsidP="00FC6F85">
            <w:pPr>
              <w:pStyle w:val="3GPPAgreements"/>
              <w:numPr>
                <w:ilvl w:val="2"/>
                <w:numId w:val="15"/>
              </w:numPr>
              <w:rPr>
                <w:szCs w:val="22"/>
              </w:rPr>
            </w:pPr>
            <w:r w:rsidRPr="007055C7">
              <w:rPr>
                <w:szCs w:val="22"/>
              </w:rPr>
              <w:lastRenderedPageBreak/>
              <w:t>UE assists sidelink resource selection for other UE(s)</w:t>
            </w:r>
          </w:p>
          <w:p w14:paraId="3D5B618B" w14:textId="77777777" w:rsidR="007055C7" w:rsidRPr="007055C7" w:rsidRDefault="007055C7" w:rsidP="00FC6F85">
            <w:pPr>
              <w:pStyle w:val="3GPPAgreements"/>
              <w:numPr>
                <w:ilvl w:val="2"/>
                <w:numId w:val="15"/>
              </w:numPr>
              <w:rPr>
                <w:szCs w:val="22"/>
              </w:rPr>
            </w:pPr>
            <w:r w:rsidRPr="007055C7">
              <w:rPr>
                <w:szCs w:val="22"/>
              </w:rPr>
              <w:t>UE is configured with NR configured grant (type-1 like) for sidelink transmission</w:t>
            </w:r>
          </w:p>
          <w:p w14:paraId="75B9DBF9" w14:textId="77777777" w:rsidR="007055C7" w:rsidRPr="007055C7" w:rsidRDefault="007055C7" w:rsidP="00FC6F85">
            <w:pPr>
              <w:pStyle w:val="3GPPAgreements"/>
              <w:numPr>
                <w:ilvl w:val="2"/>
                <w:numId w:val="15"/>
              </w:numPr>
              <w:rPr>
                <w:szCs w:val="22"/>
              </w:rPr>
            </w:pPr>
            <w:r w:rsidRPr="007055C7">
              <w:rPr>
                <w:szCs w:val="22"/>
              </w:rPr>
              <w:t>UE schedules sidelink transmissions of other UEs</w:t>
            </w:r>
          </w:p>
          <w:p w14:paraId="7638CE6C" w14:textId="77777777" w:rsidR="007055C7" w:rsidRPr="007055C7" w:rsidRDefault="007055C7" w:rsidP="007055C7">
            <w:pPr>
              <w:pStyle w:val="3GPPAgreements"/>
              <w:rPr>
                <w:szCs w:val="22"/>
              </w:rPr>
            </w:pPr>
            <w:r w:rsidRPr="007055C7">
              <w:rPr>
                <w:szCs w:val="22"/>
              </w:rPr>
              <w:t>RAN1 to continue study details of resource allocation modes for NR-V2X sidelink communication</w:t>
            </w:r>
          </w:p>
          <w:p w14:paraId="3195AB07" w14:textId="77777777" w:rsidR="007055C7" w:rsidRPr="007055C7" w:rsidRDefault="007055C7" w:rsidP="00CE5A51">
            <w:pPr>
              <w:rPr>
                <w:sz w:val="22"/>
                <w:szCs w:val="22"/>
                <w:highlight w:val="green"/>
              </w:rPr>
            </w:pPr>
          </w:p>
          <w:p w14:paraId="5EBD6A2B" w14:textId="392A94A7" w:rsidR="00CE5A51" w:rsidRPr="007055C7" w:rsidRDefault="00CE5A51" w:rsidP="00CE5A51">
            <w:pPr>
              <w:rPr>
                <w:sz w:val="22"/>
                <w:szCs w:val="22"/>
              </w:rPr>
            </w:pPr>
            <w:r w:rsidRPr="007055C7">
              <w:rPr>
                <w:sz w:val="22"/>
                <w:szCs w:val="22"/>
                <w:highlight w:val="green"/>
              </w:rPr>
              <w:t>Agreements</w:t>
            </w:r>
            <w:r w:rsidRPr="007055C7">
              <w:rPr>
                <w:sz w:val="22"/>
                <w:szCs w:val="22"/>
              </w:rPr>
              <w:t>:</w:t>
            </w:r>
          </w:p>
          <w:p w14:paraId="239EEDAE" w14:textId="77777777" w:rsidR="00CE5A51" w:rsidRPr="007055C7" w:rsidRDefault="00CE5A51" w:rsidP="00FC6F85">
            <w:pPr>
              <w:pStyle w:val="ListParagraph"/>
              <w:numPr>
                <w:ilvl w:val="0"/>
                <w:numId w:val="13"/>
              </w:numPr>
              <w:overflowPunct w:val="0"/>
              <w:autoSpaceDE w:val="0"/>
              <w:autoSpaceDN w:val="0"/>
              <w:adjustRightInd w:val="0"/>
              <w:spacing w:after="180"/>
              <w:contextualSpacing/>
              <w:textAlignment w:val="baseline"/>
              <w:rPr>
                <w:rFonts w:ascii="Times New Roman" w:hAnsi="Times New Roman"/>
              </w:rPr>
            </w:pPr>
            <w:r w:rsidRPr="007055C7">
              <w:rPr>
                <w:rFonts w:ascii="Times New Roman" w:hAnsi="Times New Roman"/>
              </w:rPr>
              <w:t>Mode-2(b) to be studied as a functionality that can be a part of Mode-2(a)(c)(d) operation, when one UE assists sidelink resource selection for other UE(s)</w:t>
            </w:r>
          </w:p>
          <w:p w14:paraId="1B1A0F30" w14:textId="2871E8E0" w:rsidR="00BA67D4" w:rsidRPr="00757334" w:rsidRDefault="00CE5A51" w:rsidP="00FC6F85">
            <w:pPr>
              <w:pStyle w:val="ListParagraph"/>
              <w:numPr>
                <w:ilvl w:val="0"/>
                <w:numId w:val="13"/>
              </w:numPr>
              <w:overflowPunct w:val="0"/>
              <w:autoSpaceDE w:val="0"/>
              <w:autoSpaceDN w:val="0"/>
              <w:adjustRightInd w:val="0"/>
              <w:spacing w:after="180"/>
              <w:contextualSpacing/>
              <w:textAlignment w:val="baseline"/>
            </w:pPr>
            <w:r w:rsidRPr="007055C7">
              <w:rPr>
                <w:rFonts w:ascii="Times New Roman" w:hAnsi="Times New Roman"/>
              </w:rPr>
              <w:t>Note: Mode-2(b) is not supported/studied as a standalone sidelink resource allocation mode</w:t>
            </w:r>
          </w:p>
        </w:tc>
      </w:tr>
    </w:tbl>
    <w:p w14:paraId="47878532" w14:textId="77777777" w:rsidR="00DB6431" w:rsidRPr="00A6576F" w:rsidRDefault="00DB6431" w:rsidP="004A311F">
      <w:pPr>
        <w:rPr>
          <w:rFonts w:eastAsia="MS Mincho"/>
          <w:sz w:val="22"/>
          <w:szCs w:val="22"/>
          <w:lang w:eastAsia="ja-JP"/>
        </w:rPr>
      </w:pPr>
    </w:p>
    <w:p w14:paraId="4F8BF972" w14:textId="77777777" w:rsidR="002D78C8" w:rsidRDefault="002D78C8" w:rsidP="002D78C8">
      <w:pPr>
        <w:rPr>
          <w:rFonts w:eastAsia="MS Mincho"/>
          <w:sz w:val="22"/>
          <w:lang w:eastAsia="ja-JP"/>
        </w:rPr>
      </w:pPr>
      <w:r w:rsidRPr="005D353D">
        <w:rPr>
          <w:rFonts w:eastAsia="MS Mincho"/>
          <w:sz w:val="22"/>
          <w:lang w:eastAsia="ja-JP"/>
        </w:rPr>
        <w:t xml:space="preserve">In RAN1#AH1 2019, further agreement has been reached </w:t>
      </w:r>
      <w:r>
        <w:rPr>
          <w:rFonts w:eastAsia="MS Mincho"/>
          <w:sz w:val="22"/>
          <w:lang w:eastAsia="ja-JP"/>
        </w:rPr>
        <w:t>as following [6]</w:t>
      </w:r>
    </w:p>
    <w:p w14:paraId="3EB9377F" w14:textId="47ED5D96" w:rsidR="002D78C8" w:rsidRDefault="002D78C8"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2D78C8" w14:paraId="4F2E6EEC" w14:textId="77777777" w:rsidTr="002D78C8">
        <w:tc>
          <w:tcPr>
            <w:tcW w:w="9855" w:type="dxa"/>
          </w:tcPr>
          <w:p w14:paraId="5EB744CF" w14:textId="77777777" w:rsidR="002D78C8" w:rsidRPr="002D78C8" w:rsidRDefault="002D78C8" w:rsidP="002D78C8">
            <w:pPr>
              <w:rPr>
                <w:sz w:val="22"/>
                <w:szCs w:val="22"/>
                <w:lang w:eastAsia="x-none"/>
              </w:rPr>
            </w:pPr>
            <w:r w:rsidRPr="002D78C8">
              <w:rPr>
                <w:sz w:val="22"/>
                <w:szCs w:val="22"/>
                <w:highlight w:val="green"/>
                <w:lang w:eastAsia="x-none"/>
              </w:rPr>
              <w:t>Agreements</w:t>
            </w:r>
            <w:r w:rsidRPr="002D78C8">
              <w:rPr>
                <w:sz w:val="22"/>
                <w:szCs w:val="22"/>
                <w:lang w:eastAsia="x-none"/>
              </w:rPr>
              <w:t>:</w:t>
            </w:r>
          </w:p>
          <w:p w14:paraId="37D7A7F2" w14:textId="77777777" w:rsidR="002D78C8" w:rsidRPr="002D78C8" w:rsidRDefault="002D78C8" w:rsidP="002D78C8">
            <w:pPr>
              <w:pStyle w:val="3GPPAgreements"/>
              <w:rPr>
                <w:szCs w:val="22"/>
              </w:rPr>
            </w:pPr>
            <w:r w:rsidRPr="002D78C8">
              <w:rPr>
                <w:szCs w:val="22"/>
              </w:rPr>
              <w:t xml:space="preserve">Mode-2 supports the sensing and resource (re)-selection procedures according to the previously agreed definitions. </w:t>
            </w:r>
          </w:p>
          <w:p w14:paraId="6752B438" w14:textId="77777777" w:rsidR="002D78C8" w:rsidRPr="002D78C8" w:rsidRDefault="002D78C8" w:rsidP="002D78C8">
            <w:pPr>
              <w:pStyle w:val="3GPPAgreements"/>
              <w:numPr>
                <w:ilvl w:val="2"/>
                <w:numId w:val="14"/>
              </w:numPr>
              <w:rPr>
                <w:szCs w:val="22"/>
              </w:rPr>
            </w:pPr>
            <w:r w:rsidRPr="002D78C8">
              <w:rPr>
                <w:szCs w:val="22"/>
              </w:rPr>
              <w:t>FFS resource granularity for sensing &amp; resource (re)-selection, e.g., PRB(s), slots, resource patterns (when applicable), etc.</w:t>
            </w:r>
          </w:p>
          <w:p w14:paraId="6AD8C938" w14:textId="77777777" w:rsidR="002D78C8" w:rsidRPr="002D78C8" w:rsidRDefault="002D78C8" w:rsidP="002D78C8">
            <w:pPr>
              <w:pStyle w:val="3GPPAgreements"/>
              <w:numPr>
                <w:ilvl w:val="2"/>
                <w:numId w:val="14"/>
              </w:numPr>
              <w:rPr>
                <w:szCs w:val="22"/>
              </w:rPr>
            </w:pPr>
            <w:r w:rsidRPr="002D78C8">
              <w:rPr>
                <w:szCs w:val="22"/>
              </w:rPr>
              <w:t>FFS detailed conditions when these procedures can apply</w:t>
            </w:r>
          </w:p>
          <w:p w14:paraId="19AC535F" w14:textId="77777777" w:rsidR="002D78C8" w:rsidRPr="002D78C8" w:rsidRDefault="002D78C8" w:rsidP="002D78C8">
            <w:pPr>
              <w:rPr>
                <w:sz w:val="22"/>
                <w:szCs w:val="22"/>
                <w:lang w:eastAsia="x-none"/>
              </w:rPr>
            </w:pPr>
          </w:p>
          <w:p w14:paraId="030717E4" w14:textId="77777777" w:rsidR="002D78C8" w:rsidRPr="002D78C8" w:rsidRDefault="002D78C8" w:rsidP="002D78C8">
            <w:pPr>
              <w:rPr>
                <w:sz w:val="22"/>
                <w:szCs w:val="22"/>
                <w:lang w:eastAsia="x-none"/>
              </w:rPr>
            </w:pPr>
            <w:r w:rsidRPr="002D78C8">
              <w:rPr>
                <w:sz w:val="22"/>
                <w:szCs w:val="22"/>
                <w:highlight w:val="green"/>
                <w:lang w:eastAsia="x-none"/>
              </w:rPr>
              <w:t>Agreements</w:t>
            </w:r>
            <w:r w:rsidRPr="002D78C8">
              <w:rPr>
                <w:sz w:val="22"/>
                <w:szCs w:val="22"/>
                <w:lang w:eastAsia="x-none"/>
              </w:rPr>
              <w:t>:</w:t>
            </w:r>
          </w:p>
          <w:p w14:paraId="422C3808" w14:textId="77777777" w:rsidR="002D78C8" w:rsidRPr="002D78C8" w:rsidRDefault="002D78C8" w:rsidP="002D78C8">
            <w:pPr>
              <w:numPr>
                <w:ilvl w:val="0"/>
                <w:numId w:val="16"/>
              </w:numPr>
              <w:rPr>
                <w:sz w:val="22"/>
                <w:szCs w:val="22"/>
              </w:rPr>
            </w:pPr>
            <w:r w:rsidRPr="002D78C8">
              <w:rPr>
                <w:sz w:val="22"/>
                <w:szCs w:val="22"/>
              </w:rPr>
              <w:t>For the purpose of performance evaluation for Mode-2(c), the following Mode-2(c) transmission pattern selection is used when a UE is configured with a pool of patterns:</w:t>
            </w:r>
          </w:p>
          <w:p w14:paraId="356E5936" w14:textId="77777777" w:rsidR="002D78C8" w:rsidRPr="002D78C8" w:rsidRDefault="002D78C8" w:rsidP="002D78C8">
            <w:pPr>
              <w:numPr>
                <w:ilvl w:val="1"/>
                <w:numId w:val="16"/>
              </w:numPr>
              <w:rPr>
                <w:sz w:val="22"/>
                <w:szCs w:val="22"/>
              </w:rPr>
            </w:pPr>
            <w:r w:rsidRPr="002D78C8">
              <w:rPr>
                <w:sz w:val="22"/>
                <w:szCs w:val="22"/>
              </w:rPr>
              <w:t xml:space="preserve">Sensing based pattern selection (e.g. UE selects unused pattern based on sensing results) </w:t>
            </w:r>
          </w:p>
          <w:p w14:paraId="65612FFA" w14:textId="77777777" w:rsidR="002D78C8" w:rsidRPr="002D78C8" w:rsidRDefault="002D78C8" w:rsidP="002D78C8">
            <w:pPr>
              <w:numPr>
                <w:ilvl w:val="2"/>
                <w:numId w:val="16"/>
              </w:numPr>
              <w:rPr>
                <w:sz w:val="22"/>
                <w:szCs w:val="22"/>
              </w:rPr>
            </w:pPr>
            <w:r w:rsidRPr="002D78C8">
              <w:rPr>
                <w:sz w:val="22"/>
                <w:szCs w:val="22"/>
              </w:rPr>
              <w:t xml:space="preserve">Additional information to assist pattern selection is not precluded, e.g., by using UE geographical location information </w:t>
            </w:r>
          </w:p>
          <w:p w14:paraId="5C7A6EF9" w14:textId="77777777" w:rsidR="002D78C8" w:rsidRPr="002D78C8" w:rsidRDefault="002D78C8" w:rsidP="002D78C8">
            <w:pPr>
              <w:rPr>
                <w:sz w:val="22"/>
                <w:szCs w:val="22"/>
                <w:lang w:eastAsia="x-none"/>
              </w:rPr>
            </w:pPr>
          </w:p>
          <w:p w14:paraId="60002889" w14:textId="77777777" w:rsidR="002D78C8" w:rsidRPr="002D78C8" w:rsidRDefault="002D78C8" w:rsidP="002D78C8">
            <w:pPr>
              <w:rPr>
                <w:sz w:val="22"/>
                <w:szCs w:val="22"/>
                <w:lang w:eastAsia="x-none"/>
              </w:rPr>
            </w:pPr>
            <w:r w:rsidRPr="002D78C8">
              <w:rPr>
                <w:sz w:val="22"/>
                <w:szCs w:val="22"/>
                <w:highlight w:val="green"/>
                <w:lang w:eastAsia="x-none"/>
              </w:rPr>
              <w:t>Agreements</w:t>
            </w:r>
            <w:r w:rsidRPr="002D78C8">
              <w:rPr>
                <w:sz w:val="22"/>
                <w:szCs w:val="22"/>
                <w:lang w:eastAsia="x-none"/>
              </w:rPr>
              <w:t>:</w:t>
            </w:r>
          </w:p>
          <w:p w14:paraId="0120070F" w14:textId="77777777" w:rsidR="002D78C8" w:rsidRPr="002D78C8" w:rsidRDefault="002D78C8" w:rsidP="002D78C8">
            <w:pPr>
              <w:numPr>
                <w:ilvl w:val="0"/>
                <w:numId w:val="16"/>
              </w:numPr>
              <w:rPr>
                <w:sz w:val="22"/>
                <w:szCs w:val="22"/>
                <w:lang w:eastAsia="x-none"/>
              </w:rPr>
            </w:pPr>
            <w:r w:rsidRPr="002D78C8">
              <w:rPr>
                <w:sz w:val="22"/>
                <w:szCs w:val="22"/>
                <w:lang w:eastAsia="x-none"/>
              </w:rPr>
              <w:t>Sub-channel based resource allocation is supported for PSSCH</w:t>
            </w:r>
          </w:p>
          <w:p w14:paraId="44BB8485" w14:textId="77777777" w:rsidR="002D78C8" w:rsidRPr="002D78C8" w:rsidRDefault="002D78C8" w:rsidP="002D78C8">
            <w:pPr>
              <w:numPr>
                <w:ilvl w:val="1"/>
                <w:numId w:val="16"/>
              </w:numPr>
              <w:rPr>
                <w:sz w:val="22"/>
                <w:szCs w:val="22"/>
                <w:lang w:eastAsia="x-none"/>
              </w:rPr>
            </w:pPr>
            <w:r w:rsidRPr="002D78C8">
              <w:rPr>
                <w:sz w:val="22"/>
                <w:szCs w:val="22"/>
                <w:lang w:eastAsia="x-none"/>
              </w:rPr>
              <w:t>FFS details for sub-channels</w:t>
            </w:r>
          </w:p>
          <w:p w14:paraId="3C2E16D3" w14:textId="604B2C78" w:rsidR="002D78C8" w:rsidRPr="002D78C8" w:rsidRDefault="002D78C8" w:rsidP="004A311F">
            <w:pPr>
              <w:numPr>
                <w:ilvl w:val="1"/>
                <w:numId w:val="16"/>
              </w:numPr>
              <w:rPr>
                <w:szCs w:val="20"/>
                <w:lang w:eastAsia="x-none"/>
              </w:rPr>
            </w:pPr>
            <w:r w:rsidRPr="002D78C8">
              <w:rPr>
                <w:sz w:val="22"/>
                <w:szCs w:val="22"/>
                <w:lang w:eastAsia="x-none"/>
              </w:rPr>
              <w:t>FFS other use cases for sub-channel (e.g., measurement, interaction with PSCCH, etc.)</w:t>
            </w:r>
          </w:p>
        </w:tc>
      </w:tr>
    </w:tbl>
    <w:p w14:paraId="782C0ECB" w14:textId="77777777" w:rsidR="002D78C8" w:rsidRDefault="002D78C8" w:rsidP="004A311F">
      <w:pPr>
        <w:rPr>
          <w:rFonts w:eastAsia="MS Mincho"/>
          <w:sz w:val="22"/>
          <w:szCs w:val="22"/>
          <w:lang w:eastAsia="ja-JP"/>
        </w:rPr>
      </w:pPr>
    </w:p>
    <w:p w14:paraId="786A194E" w14:textId="2E138A9B" w:rsidR="001344A3" w:rsidRPr="00A6576F" w:rsidRDefault="002F49ED" w:rsidP="004A311F">
      <w:pPr>
        <w:rPr>
          <w:rFonts w:eastAsia="MS Mincho"/>
          <w:sz w:val="22"/>
          <w:szCs w:val="22"/>
          <w:lang w:eastAsia="ja-JP"/>
        </w:rPr>
      </w:pPr>
      <w:r w:rsidRPr="00A6576F">
        <w:rPr>
          <w:rFonts w:eastAsia="MS Mincho"/>
          <w:sz w:val="22"/>
          <w:szCs w:val="22"/>
          <w:lang w:eastAsia="ja-JP"/>
        </w:rPr>
        <w:t xml:space="preserve">In this </w:t>
      </w:r>
      <w:r w:rsidR="00DB6431">
        <w:rPr>
          <w:rFonts w:eastAsia="MS Mincho"/>
          <w:sz w:val="22"/>
          <w:szCs w:val="22"/>
          <w:lang w:eastAsia="ja-JP"/>
        </w:rPr>
        <w:t>contribution</w:t>
      </w:r>
      <w:r w:rsidRPr="00A6576F">
        <w:rPr>
          <w:rFonts w:eastAsia="MS Mincho"/>
          <w:sz w:val="22"/>
          <w:szCs w:val="22"/>
          <w:lang w:eastAsia="ja-JP"/>
        </w:rPr>
        <w:t xml:space="preserve">, we consider the enhancement to traditional LBT procedure </w:t>
      </w:r>
      <w:r w:rsidR="00CD1487" w:rsidRPr="00A6576F">
        <w:rPr>
          <w:rFonts w:eastAsia="MS Mincho"/>
          <w:sz w:val="22"/>
          <w:szCs w:val="22"/>
          <w:lang w:eastAsia="ja-JP"/>
        </w:rPr>
        <w:t xml:space="preserve">by allowing </w:t>
      </w:r>
      <w:r w:rsidR="00A6576F" w:rsidRPr="00A6576F">
        <w:rPr>
          <w:rFonts w:eastAsia="MS Mincho"/>
          <w:sz w:val="22"/>
          <w:szCs w:val="22"/>
          <w:lang w:eastAsia="ja-JP"/>
        </w:rPr>
        <w:t>device</w:t>
      </w:r>
      <w:r w:rsidR="00CD1487" w:rsidRPr="00A6576F">
        <w:rPr>
          <w:rFonts w:eastAsia="MS Mincho"/>
          <w:sz w:val="22"/>
          <w:szCs w:val="22"/>
          <w:lang w:eastAsia="ja-JP"/>
        </w:rPr>
        <w:t xml:space="preserve"> to detection collision within Channel Occupancy Time (COT), </w:t>
      </w:r>
      <w:r w:rsidRPr="00A6576F">
        <w:rPr>
          <w:rFonts w:eastAsia="MS Mincho"/>
          <w:sz w:val="22"/>
          <w:szCs w:val="22"/>
          <w:lang w:eastAsia="ja-JP"/>
        </w:rPr>
        <w:t xml:space="preserve">which we </w:t>
      </w:r>
      <w:r w:rsidR="00CD1487" w:rsidRPr="00A6576F">
        <w:rPr>
          <w:rFonts w:eastAsia="MS Mincho"/>
          <w:sz w:val="22"/>
          <w:szCs w:val="22"/>
          <w:lang w:eastAsia="ja-JP"/>
        </w:rPr>
        <w:t>denoted as</w:t>
      </w:r>
      <w:r w:rsidRPr="00A6576F">
        <w:rPr>
          <w:rFonts w:eastAsia="MS Mincho"/>
          <w:sz w:val="22"/>
          <w:szCs w:val="22"/>
          <w:lang w:eastAsia="ja-JP"/>
        </w:rPr>
        <w:t xml:space="preserve"> Listen Again After Talk</w:t>
      </w:r>
      <w:r w:rsidR="00F93955" w:rsidRPr="00A6576F">
        <w:rPr>
          <w:rFonts w:eastAsia="MS Mincho"/>
          <w:sz w:val="22"/>
          <w:szCs w:val="22"/>
          <w:lang w:eastAsia="ja-JP"/>
        </w:rPr>
        <w:t xml:space="preserve"> (LAAT)</w:t>
      </w:r>
      <w:r w:rsidRPr="00A6576F">
        <w:rPr>
          <w:rFonts w:eastAsia="MS Mincho"/>
          <w:sz w:val="22"/>
          <w:szCs w:val="22"/>
          <w:lang w:eastAsia="ja-JP"/>
        </w:rPr>
        <w:t xml:space="preserve">. </w:t>
      </w:r>
      <w:r w:rsidR="00496A07">
        <w:rPr>
          <w:rFonts w:eastAsia="MS Mincho"/>
          <w:sz w:val="22"/>
          <w:szCs w:val="22"/>
          <w:lang w:eastAsia="ja-JP"/>
        </w:rPr>
        <w:t>We also think it is beneficial to</w:t>
      </w:r>
      <w:r w:rsidR="00892BC9">
        <w:rPr>
          <w:rFonts w:eastAsia="MS Mincho"/>
          <w:sz w:val="22"/>
          <w:szCs w:val="22"/>
          <w:lang w:eastAsia="ja-JP"/>
        </w:rPr>
        <w:t xml:space="preserve"> adjust the UE reporting, DRX setting etc. adaptively based on the speed of the UE or the speed of the variation of the environment, in order to achieve better tradeoff between the UE power consumption/NW resource utilization and latency. </w:t>
      </w:r>
    </w:p>
    <w:p w14:paraId="1B9DBEE0" w14:textId="56524EB4" w:rsidR="00BE3DB9" w:rsidRPr="00A6576F" w:rsidRDefault="00BE3DB9" w:rsidP="006F0C31">
      <w:pPr>
        <w:pStyle w:val="Heading1"/>
      </w:pPr>
      <w:r w:rsidRPr="00A6576F">
        <w:t>Limitation on Traditional Listen Before Talk</w:t>
      </w:r>
      <w:r w:rsidR="000A099C" w:rsidRPr="00A6576F">
        <w:t xml:space="preserve"> (LBT)</w:t>
      </w:r>
    </w:p>
    <w:p w14:paraId="5ADB71DB" w14:textId="03808D71" w:rsidR="00483897" w:rsidRPr="00A6576F" w:rsidRDefault="00483897" w:rsidP="00483897">
      <w:pPr>
        <w:rPr>
          <w:sz w:val="22"/>
        </w:rPr>
      </w:pPr>
      <w:r w:rsidRPr="00A6576F">
        <w:rPr>
          <w:sz w:val="22"/>
        </w:rPr>
        <w:t>To access shared medium, listen-before-talk (LBT) is commonly used to avoid collision and thus improve medium utilization efficiency. However</w:t>
      </w:r>
      <w:r w:rsidR="000C37F9" w:rsidRPr="00A6576F">
        <w:rPr>
          <w:sz w:val="22"/>
        </w:rPr>
        <w:t>, it is well-known that LBT canno</w:t>
      </w:r>
      <w:r w:rsidRPr="00A6576F">
        <w:rPr>
          <w:sz w:val="22"/>
        </w:rPr>
        <w:t>t guarantee 100% collision free. In case that collision</w:t>
      </w:r>
      <w:r w:rsidR="009376C1" w:rsidRPr="00A6576F">
        <w:rPr>
          <w:sz w:val="22"/>
        </w:rPr>
        <w:t xml:space="preserve"> happens in V2X communication, i</w:t>
      </w:r>
      <w:r w:rsidRPr="00A6576F">
        <w:rPr>
          <w:sz w:val="22"/>
        </w:rPr>
        <w:t>n unicast case, transmitter can roughly detect it via receiver’s ACK/NACK feedback. However,</w:t>
      </w:r>
      <w:r w:rsidR="00C51BF6" w:rsidRPr="00A6576F">
        <w:rPr>
          <w:sz w:val="22"/>
        </w:rPr>
        <w:t xml:space="preserve"> i</w:t>
      </w:r>
      <w:r w:rsidRPr="00A6576F">
        <w:rPr>
          <w:sz w:val="22"/>
        </w:rPr>
        <w:t>n group-cast case, transmitter can’t detect collision easily via receiver’s ACK/NACK feedback due to heavy traffics associated wit</w:t>
      </w:r>
      <w:r w:rsidR="00FD3A10" w:rsidRPr="00A6576F">
        <w:rPr>
          <w:sz w:val="22"/>
        </w:rPr>
        <w:t xml:space="preserve">h ACK/NACKs from all receivers and the fact that </w:t>
      </w:r>
      <w:r w:rsidRPr="00A6576F">
        <w:rPr>
          <w:sz w:val="22"/>
        </w:rPr>
        <w:t>each receiver can be at different locations and have different channel quali</w:t>
      </w:r>
      <w:r w:rsidR="000C37F9" w:rsidRPr="00A6576F">
        <w:rPr>
          <w:sz w:val="22"/>
        </w:rPr>
        <w:t>ty. Thus, transmitter canno</w:t>
      </w:r>
      <w:r w:rsidRPr="00A6576F">
        <w:rPr>
          <w:sz w:val="22"/>
        </w:rPr>
        <w:t>t easily isolate collision from channel quality based on ACK/NACKs. In broadcast case, things become even worse and receiver-based fe</w:t>
      </w:r>
      <w:r w:rsidR="00A71033" w:rsidRPr="00A6576F">
        <w:rPr>
          <w:sz w:val="22"/>
        </w:rPr>
        <w:t>edback is known to be almost infeasible</w:t>
      </w:r>
      <w:r w:rsidRPr="00A6576F">
        <w:rPr>
          <w:sz w:val="22"/>
        </w:rPr>
        <w:t>.</w:t>
      </w:r>
      <w:r w:rsidR="009A6511" w:rsidRPr="00A6576F">
        <w:rPr>
          <w:sz w:val="22"/>
        </w:rPr>
        <w:t xml:space="preserve"> </w:t>
      </w:r>
      <w:r w:rsidRPr="00A6576F">
        <w:rPr>
          <w:sz w:val="22"/>
        </w:rPr>
        <w:t xml:space="preserve">Moreover, in some V2X use cases, </w:t>
      </w:r>
      <w:r w:rsidR="00A6576F" w:rsidRPr="00A6576F">
        <w:rPr>
          <w:sz w:val="22"/>
        </w:rPr>
        <w:t>device</w:t>
      </w:r>
      <w:r w:rsidRPr="00A6576F">
        <w:rPr>
          <w:sz w:val="22"/>
        </w:rPr>
        <w:t xml:space="preserve"> can reserve periodic slots within a reservation period for communication. In such cases, if collision happens, it could persist for certain period (worst case entire reservation period) if T</w:t>
      </w:r>
      <w:r w:rsidR="009B3757" w:rsidRPr="00A6576F">
        <w:rPr>
          <w:sz w:val="22"/>
        </w:rPr>
        <w:t>x</w:t>
      </w:r>
      <w:r w:rsidRPr="00A6576F">
        <w:rPr>
          <w:sz w:val="22"/>
        </w:rPr>
        <w:t xml:space="preserve"> does not detect the collision.</w:t>
      </w:r>
      <w:r w:rsidR="0034788B" w:rsidRPr="00A6576F">
        <w:rPr>
          <w:sz w:val="22"/>
        </w:rPr>
        <w:t xml:space="preserve"> </w:t>
      </w:r>
    </w:p>
    <w:p w14:paraId="59CD12A6" w14:textId="6B26B4FE" w:rsidR="00483897" w:rsidRPr="00A6576F" w:rsidRDefault="00483897" w:rsidP="00483897">
      <w:pPr>
        <w:rPr>
          <w:sz w:val="22"/>
        </w:rPr>
      </w:pPr>
      <w:r w:rsidRPr="00A6576F">
        <w:rPr>
          <w:sz w:val="22"/>
        </w:rPr>
        <w:lastRenderedPageBreak/>
        <w:t xml:space="preserve">Based on the above, the fundamental issue in broadcast and group-cast communication is that there is no receiver’s feedback for transmitter to leverage to detect collision. </w:t>
      </w:r>
      <w:r w:rsidR="007D3660" w:rsidRPr="00A6576F">
        <w:rPr>
          <w:sz w:val="22"/>
        </w:rPr>
        <w:t>In this contri</w:t>
      </w:r>
      <w:r w:rsidR="007757B1" w:rsidRPr="00A6576F">
        <w:rPr>
          <w:sz w:val="22"/>
        </w:rPr>
        <w:t>bution</w:t>
      </w:r>
      <w:r w:rsidRPr="00A6576F">
        <w:rPr>
          <w:sz w:val="22"/>
        </w:rPr>
        <w:t xml:space="preserve">, a </w:t>
      </w:r>
      <w:r w:rsidR="002C2322" w:rsidRPr="00A6576F">
        <w:rPr>
          <w:sz w:val="22"/>
        </w:rPr>
        <w:t>Listen A</w:t>
      </w:r>
      <w:r w:rsidRPr="00A6576F">
        <w:rPr>
          <w:sz w:val="22"/>
        </w:rPr>
        <w:t xml:space="preserve">gain </w:t>
      </w:r>
      <w:r w:rsidR="002C2322" w:rsidRPr="00A6576F">
        <w:rPr>
          <w:sz w:val="22"/>
        </w:rPr>
        <w:t>After T</w:t>
      </w:r>
      <w:r w:rsidRPr="00A6576F">
        <w:rPr>
          <w:sz w:val="22"/>
        </w:rPr>
        <w:t>alk (LAAT) is proposed from transmitter side to solve this fundamental issue.</w:t>
      </w:r>
    </w:p>
    <w:p w14:paraId="45BD1CB5" w14:textId="77777777" w:rsidR="003158EF" w:rsidRPr="00A6576F" w:rsidRDefault="003158EF" w:rsidP="00C42720">
      <w:pPr>
        <w:pStyle w:val="Heading1"/>
      </w:pPr>
      <w:r w:rsidRPr="00A6576F">
        <w:t>Listen Again After Talk (LAAT)</w:t>
      </w:r>
    </w:p>
    <w:p w14:paraId="7F8C84D8" w14:textId="29780B88" w:rsidR="00C7129C" w:rsidRPr="00A6576F" w:rsidRDefault="0005170D" w:rsidP="00C7129C">
      <w:pPr>
        <w:pStyle w:val="Heading2"/>
      </w:pPr>
      <w:r w:rsidRPr="00A6576F">
        <w:t>S</w:t>
      </w:r>
      <w:r w:rsidR="00C7129C" w:rsidRPr="00A6576F">
        <w:t xml:space="preserve">lot structure to </w:t>
      </w:r>
      <w:r w:rsidR="00625396" w:rsidRPr="00A6576F">
        <w:t>support</w:t>
      </w:r>
      <w:r w:rsidR="00C7129C" w:rsidRPr="00A6576F">
        <w:t xml:space="preserve"> LAAT </w:t>
      </w:r>
    </w:p>
    <w:p w14:paraId="5665EDC1" w14:textId="297AF40C" w:rsidR="00C7129C" w:rsidRPr="00A6576F" w:rsidRDefault="00C7129C" w:rsidP="00C7129C">
      <w:pPr>
        <w:rPr>
          <w:sz w:val="22"/>
        </w:rPr>
      </w:pPr>
      <w:r w:rsidRPr="00A6576F">
        <w:rPr>
          <w:sz w:val="22"/>
        </w:rPr>
        <w:t xml:space="preserve">To support LAAT, </w:t>
      </w:r>
      <w:r w:rsidR="00A6576F" w:rsidRPr="00A6576F">
        <w:rPr>
          <w:sz w:val="22"/>
        </w:rPr>
        <w:t>device</w:t>
      </w:r>
      <w:r w:rsidRPr="00A6576F">
        <w:rPr>
          <w:sz w:val="22"/>
        </w:rPr>
        <w:t xml:space="preserve"> needs to reserve some time for listening again (LA) during its channel occupancy time (COT). </w:t>
      </w:r>
      <w:r w:rsidR="00C8789B" w:rsidRPr="00A6576F">
        <w:rPr>
          <w:sz w:val="22"/>
        </w:rPr>
        <w:t xml:space="preserve">This can be achieved by </w:t>
      </w:r>
      <w:r w:rsidR="008A06FA">
        <w:rPr>
          <w:sz w:val="22"/>
        </w:rPr>
        <w:t>device</w:t>
      </w:r>
      <w:r w:rsidR="00C8789B" w:rsidRPr="00A6576F">
        <w:rPr>
          <w:sz w:val="22"/>
        </w:rPr>
        <w:t xml:space="preserve"> </w:t>
      </w:r>
      <w:r w:rsidRPr="00A6576F">
        <w:rPr>
          <w:sz w:val="22"/>
        </w:rPr>
        <w:t>via</w:t>
      </w:r>
      <w:r w:rsidR="000721FE" w:rsidRPr="00A6576F">
        <w:rPr>
          <w:sz w:val="22"/>
        </w:rPr>
        <w:t xml:space="preserve"> s</w:t>
      </w:r>
      <w:r w:rsidRPr="00A6576F">
        <w:rPr>
          <w:sz w:val="22"/>
        </w:rPr>
        <w:t>pecial slot struc</w:t>
      </w:r>
      <w:r w:rsidR="000721FE" w:rsidRPr="00A6576F">
        <w:rPr>
          <w:sz w:val="22"/>
        </w:rPr>
        <w:t xml:space="preserve">ture that is used in </w:t>
      </w:r>
      <w:r w:rsidRPr="00A6576F">
        <w:rPr>
          <w:sz w:val="22"/>
        </w:rPr>
        <w:t xml:space="preserve">TDD </w:t>
      </w:r>
      <w:r w:rsidR="000721FE" w:rsidRPr="00A6576F">
        <w:rPr>
          <w:sz w:val="22"/>
        </w:rPr>
        <w:t>operation. F</w:t>
      </w:r>
      <w:r w:rsidRPr="00A6576F">
        <w:rPr>
          <w:sz w:val="22"/>
        </w:rPr>
        <w:t xml:space="preserve">irst part of slot is for normal data transmission. There is a </w:t>
      </w:r>
      <w:r w:rsidR="000721FE" w:rsidRPr="00A6576F">
        <w:rPr>
          <w:sz w:val="22"/>
        </w:rPr>
        <w:t>Tx to Rx (</w:t>
      </w:r>
      <w:r w:rsidRPr="00A6576F">
        <w:rPr>
          <w:sz w:val="22"/>
        </w:rPr>
        <w:t>T/R</w:t>
      </w:r>
      <w:r w:rsidR="000721FE" w:rsidRPr="00A6576F">
        <w:rPr>
          <w:sz w:val="22"/>
        </w:rPr>
        <w:t>)</w:t>
      </w:r>
      <w:r w:rsidRPr="00A6576F">
        <w:rPr>
          <w:sz w:val="22"/>
        </w:rPr>
        <w:t xml:space="preserve"> switching period, which allows </w:t>
      </w:r>
      <w:r w:rsidR="00A6576F" w:rsidRPr="00A6576F">
        <w:rPr>
          <w:sz w:val="22"/>
        </w:rPr>
        <w:t xml:space="preserve">device </w:t>
      </w:r>
      <w:r w:rsidRPr="00A6576F">
        <w:rPr>
          <w:sz w:val="22"/>
        </w:rPr>
        <w:t>to switch from transmission mode to receive mode</w:t>
      </w:r>
      <w:r w:rsidR="00A25290" w:rsidRPr="00A6576F">
        <w:rPr>
          <w:sz w:val="22"/>
        </w:rPr>
        <w:t xml:space="preserve">, followed by a </w:t>
      </w:r>
      <w:r w:rsidR="00A6576F" w:rsidRPr="00A6576F">
        <w:rPr>
          <w:sz w:val="22"/>
        </w:rPr>
        <w:t xml:space="preserve">device </w:t>
      </w:r>
      <w:r w:rsidR="00A25290" w:rsidRPr="00A6576F">
        <w:rPr>
          <w:sz w:val="22"/>
        </w:rPr>
        <w:t>reception period of time, and ended with a Rx to Tx (R/T) switching period</w:t>
      </w:r>
      <w:r w:rsidRPr="00A6576F">
        <w:rPr>
          <w:sz w:val="22"/>
        </w:rPr>
        <w:t xml:space="preserve">. </w:t>
      </w:r>
      <w:r w:rsidR="00A25290" w:rsidRPr="00A6576F">
        <w:rPr>
          <w:sz w:val="22"/>
        </w:rPr>
        <w:t xml:space="preserve">Note that this </w:t>
      </w:r>
      <w:r w:rsidR="00236361" w:rsidRPr="00A6576F">
        <w:rPr>
          <w:sz w:val="22"/>
        </w:rPr>
        <w:t>slot structure is already supported in LTE as specially subframe in TDD configuration and in NR as NR support</w:t>
      </w:r>
      <w:r w:rsidR="003B5024">
        <w:rPr>
          <w:sz w:val="22"/>
        </w:rPr>
        <w:t>s</w:t>
      </w:r>
      <w:r w:rsidR="00236361" w:rsidRPr="00A6576F">
        <w:rPr>
          <w:sz w:val="22"/>
        </w:rPr>
        <w:t xml:space="preserve"> Tx/Rx switching in a slot. We </w:t>
      </w:r>
      <w:r w:rsidR="00625396" w:rsidRPr="00A6576F">
        <w:rPr>
          <w:sz w:val="22"/>
        </w:rPr>
        <w:t>illustrate</w:t>
      </w:r>
      <w:r w:rsidR="00236361" w:rsidRPr="00A6576F">
        <w:rPr>
          <w:sz w:val="22"/>
        </w:rPr>
        <w:t xml:space="preserve"> the concept in Figure 1</w:t>
      </w:r>
    </w:p>
    <w:p w14:paraId="168D7D74" w14:textId="77777777" w:rsidR="00C7129C" w:rsidRPr="00A6576F" w:rsidRDefault="00C7129C" w:rsidP="00C7129C">
      <w:pPr>
        <w:rPr>
          <w:sz w:val="22"/>
        </w:rPr>
      </w:pPr>
    </w:p>
    <w:p w14:paraId="5A9B5734" w14:textId="77777777" w:rsidR="00625396" w:rsidRPr="00A6576F" w:rsidRDefault="00625396" w:rsidP="00625396">
      <w:pPr>
        <w:keepNext/>
        <w:jc w:val="center"/>
        <w:rPr>
          <w:sz w:val="22"/>
        </w:rPr>
      </w:pPr>
      <w:r w:rsidRPr="00A6576F">
        <w:rPr>
          <w:noProof/>
          <w:sz w:val="22"/>
        </w:rPr>
        <w:drawing>
          <wp:inline distT="0" distB="0" distL="0" distR="0" wp14:anchorId="7FC51C92" wp14:editId="415DF92C">
            <wp:extent cx="3414408" cy="659789"/>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1607" cy="666977"/>
                    </a:xfrm>
                    <a:prstGeom prst="rect">
                      <a:avLst/>
                    </a:prstGeom>
                  </pic:spPr>
                </pic:pic>
              </a:graphicData>
            </a:graphic>
          </wp:inline>
        </w:drawing>
      </w:r>
    </w:p>
    <w:p w14:paraId="4D127D44" w14:textId="75FCD161" w:rsidR="00C7129C" w:rsidRPr="00A6576F" w:rsidRDefault="00625396" w:rsidP="00625396">
      <w:pPr>
        <w:pStyle w:val="Caption"/>
        <w:rPr>
          <w:sz w:val="22"/>
        </w:rPr>
      </w:pPr>
      <w:r w:rsidRPr="00A6576F">
        <w:rPr>
          <w:sz w:val="22"/>
        </w:rPr>
        <w:t xml:space="preserve">Figure </w:t>
      </w:r>
      <w:r w:rsidRPr="00A6576F">
        <w:rPr>
          <w:sz w:val="22"/>
        </w:rPr>
        <w:fldChar w:fldCharType="begin"/>
      </w:r>
      <w:r w:rsidRPr="00A6576F">
        <w:rPr>
          <w:sz w:val="22"/>
        </w:rPr>
        <w:instrText xml:space="preserve"> SEQ Figure \* ARABIC </w:instrText>
      </w:r>
      <w:r w:rsidRPr="00A6576F">
        <w:rPr>
          <w:sz w:val="22"/>
        </w:rPr>
        <w:fldChar w:fldCharType="separate"/>
      </w:r>
      <w:r w:rsidR="007C47C9">
        <w:rPr>
          <w:noProof/>
          <w:sz w:val="22"/>
        </w:rPr>
        <w:t>1</w:t>
      </w:r>
      <w:r w:rsidRPr="00A6576F">
        <w:rPr>
          <w:sz w:val="22"/>
        </w:rPr>
        <w:fldChar w:fldCharType="end"/>
      </w:r>
      <w:r w:rsidRPr="00A6576F">
        <w:rPr>
          <w:sz w:val="22"/>
        </w:rPr>
        <w:t xml:space="preserve"> </w:t>
      </w:r>
      <w:r w:rsidR="00E77E3A" w:rsidRPr="00A6576F">
        <w:rPr>
          <w:sz w:val="22"/>
        </w:rPr>
        <w:t>S</w:t>
      </w:r>
      <w:r w:rsidRPr="00A6576F">
        <w:rPr>
          <w:sz w:val="22"/>
        </w:rPr>
        <w:t>lot structure to support LAAT</w:t>
      </w:r>
      <w:r w:rsidR="00AD6C3C" w:rsidRPr="00A6576F">
        <w:rPr>
          <w:sz w:val="22"/>
        </w:rPr>
        <w:t>: Option 1</w:t>
      </w:r>
    </w:p>
    <w:p w14:paraId="595C8766" w14:textId="3C90245A" w:rsidR="00C7129C" w:rsidRPr="00A6576F" w:rsidRDefault="00C7129C" w:rsidP="00C7129C">
      <w:pPr>
        <w:rPr>
          <w:sz w:val="22"/>
          <w:szCs w:val="22"/>
        </w:rPr>
      </w:pPr>
      <w:r w:rsidRPr="00A6576F">
        <w:rPr>
          <w:sz w:val="22"/>
          <w:szCs w:val="22"/>
        </w:rPr>
        <w:t xml:space="preserve">The duration of TX, T/R &amp; R/T switching, and RX could have several configurations so that </w:t>
      </w:r>
      <w:r w:rsidR="00A6576F" w:rsidRPr="00A6576F">
        <w:rPr>
          <w:sz w:val="22"/>
        </w:rPr>
        <w:t xml:space="preserve">device </w:t>
      </w:r>
      <w:r w:rsidRPr="00A6576F">
        <w:rPr>
          <w:sz w:val="22"/>
          <w:szCs w:val="22"/>
        </w:rPr>
        <w:t>can trade off among transmission capacity, modem switching requirement, and col</w:t>
      </w:r>
      <w:r w:rsidR="00F33114" w:rsidRPr="00A6576F">
        <w:rPr>
          <w:sz w:val="22"/>
          <w:szCs w:val="22"/>
        </w:rPr>
        <w:t xml:space="preserve">lision detection accuracy. </w:t>
      </w:r>
      <w:r w:rsidRPr="00A6576F">
        <w:rPr>
          <w:sz w:val="22"/>
          <w:szCs w:val="22"/>
        </w:rPr>
        <w:t xml:space="preserve">LA period should </w:t>
      </w:r>
      <w:r w:rsidR="003862AB" w:rsidRPr="00A6576F">
        <w:rPr>
          <w:sz w:val="22"/>
          <w:szCs w:val="22"/>
        </w:rPr>
        <w:t xml:space="preserve">also </w:t>
      </w:r>
      <w:r w:rsidRPr="00A6576F">
        <w:rPr>
          <w:sz w:val="22"/>
          <w:szCs w:val="22"/>
        </w:rPr>
        <w:t xml:space="preserve">be small enough to avoid another </w:t>
      </w:r>
      <w:r w:rsidR="00A6576F" w:rsidRPr="00A6576F">
        <w:rPr>
          <w:sz w:val="22"/>
        </w:rPr>
        <w:t xml:space="preserve">device </w:t>
      </w:r>
      <w:r w:rsidRPr="00A6576F">
        <w:rPr>
          <w:sz w:val="22"/>
          <w:szCs w:val="22"/>
        </w:rPr>
        <w:t xml:space="preserve">to grab the medium during this period.  </w:t>
      </w:r>
    </w:p>
    <w:p w14:paraId="59061851" w14:textId="77777777" w:rsidR="00EE2C5B" w:rsidRPr="00A6576F" w:rsidRDefault="00EE2C5B" w:rsidP="00C7129C">
      <w:pPr>
        <w:rPr>
          <w:sz w:val="22"/>
          <w:szCs w:val="22"/>
        </w:rPr>
      </w:pPr>
    </w:p>
    <w:p w14:paraId="53518109" w14:textId="4712E56C" w:rsidR="00C7129C" w:rsidRPr="00A6576F" w:rsidRDefault="00C7129C" w:rsidP="00C7129C">
      <w:pPr>
        <w:rPr>
          <w:sz w:val="22"/>
          <w:szCs w:val="22"/>
        </w:rPr>
      </w:pPr>
      <w:r w:rsidRPr="00A6576F">
        <w:rPr>
          <w:sz w:val="22"/>
          <w:szCs w:val="22"/>
        </w:rPr>
        <w:t xml:space="preserve">As an alternative to special </w:t>
      </w:r>
      <w:r w:rsidR="004E1675" w:rsidRPr="00A6576F">
        <w:rPr>
          <w:sz w:val="22"/>
          <w:szCs w:val="22"/>
        </w:rPr>
        <w:t>slot</w:t>
      </w:r>
      <w:r w:rsidRPr="00A6576F">
        <w:rPr>
          <w:sz w:val="22"/>
          <w:szCs w:val="22"/>
        </w:rPr>
        <w:t xml:space="preserve">, a normal transmission </w:t>
      </w:r>
      <w:r w:rsidR="004E1675" w:rsidRPr="00A6576F">
        <w:rPr>
          <w:sz w:val="22"/>
          <w:szCs w:val="22"/>
        </w:rPr>
        <w:t>slot</w:t>
      </w:r>
      <w:r w:rsidRPr="00A6576F">
        <w:rPr>
          <w:sz w:val="22"/>
          <w:szCs w:val="22"/>
        </w:rPr>
        <w:t xml:space="preserve"> can be blanked partially (e.g. at the end of slot or in the middle of slot). The blanked part is used for T/R &amp; R/T switching and listening. Due to partial blanking, link adaptation information in DCI should take care of less transmitted bits. e.g., reduce MCS </w:t>
      </w:r>
      <w:r w:rsidR="00CB4494" w:rsidRPr="00A6576F">
        <w:rPr>
          <w:sz w:val="22"/>
          <w:szCs w:val="22"/>
        </w:rPr>
        <w:t>.</w:t>
      </w:r>
      <w:r w:rsidR="00B35131">
        <w:rPr>
          <w:sz w:val="22"/>
          <w:szCs w:val="22"/>
        </w:rPr>
        <w:t xml:space="preserve"> The concept of partially blan</w:t>
      </w:r>
      <w:r w:rsidR="005017C9" w:rsidRPr="00A6576F">
        <w:rPr>
          <w:sz w:val="22"/>
          <w:szCs w:val="22"/>
        </w:rPr>
        <w:t>ked slot in illustrated in Figure 2</w:t>
      </w:r>
    </w:p>
    <w:p w14:paraId="78D01B0C" w14:textId="77777777" w:rsidR="00C7129C" w:rsidRPr="00A6576F" w:rsidRDefault="00C7129C" w:rsidP="00C7129C">
      <w:pPr>
        <w:rPr>
          <w:sz w:val="22"/>
          <w:szCs w:val="22"/>
        </w:rPr>
      </w:pPr>
    </w:p>
    <w:p w14:paraId="49E7DD11" w14:textId="77777777" w:rsidR="00F93157" w:rsidRPr="00A6576F" w:rsidRDefault="00F93157" w:rsidP="00F93157">
      <w:pPr>
        <w:keepNext/>
        <w:jc w:val="center"/>
        <w:rPr>
          <w:sz w:val="22"/>
          <w:szCs w:val="22"/>
        </w:rPr>
      </w:pPr>
      <w:r w:rsidRPr="00A6576F">
        <w:rPr>
          <w:noProof/>
          <w:sz w:val="22"/>
          <w:szCs w:val="22"/>
        </w:rPr>
        <w:drawing>
          <wp:inline distT="0" distB="0" distL="0" distR="0" wp14:anchorId="406FAFCD" wp14:editId="7E659BB1">
            <wp:extent cx="5622044" cy="556638"/>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0394" cy="566376"/>
                    </a:xfrm>
                    <a:prstGeom prst="rect">
                      <a:avLst/>
                    </a:prstGeom>
                  </pic:spPr>
                </pic:pic>
              </a:graphicData>
            </a:graphic>
          </wp:inline>
        </w:drawing>
      </w:r>
    </w:p>
    <w:p w14:paraId="62AA80F6" w14:textId="1AC24B2F" w:rsidR="00C7129C" w:rsidRPr="00A6576F" w:rsidRDefault="00F93157" w:rsidP="00F93157">
      <w:pPr>
        <w:pStyle w:val="Caption"/>
        <w:rPr>
          <w:sz w:val="22"/>
          <w:szCs w:val="22"/>
        </w:rPr>
      </w:pPr>
      <w:r w:rsidRPr="00A6576F">
        <w:rPr>
          <w:sz w:val="22"/>
          <w:szCs w:val="22"/>
        </w:rPr>
        <w:t xml:space="preserve">Figure </w:t>
      </w:r>
      <w:r w:rsidRPr="00A6576F">
        <w:rPr>
          <w:sz w:val="22"/>
          <w:szCs w:val="22"/>
        </w:rPr>
        <w:fldChar w:fldCharType="begin"/>
      </w:r>
      <w:r w:rsidRPr="00A6576F">
        <w:rPr>
          <w:sz w:val="22"/>
          <w:szCs w:val="22"/>
        </w:rPr>
        <w:instrText xml:space="preserve"> SEQ Figure \* ARABIC </w:instrText>
      </w:r>
      <w:r w:rsidRPr="00A6576F">
        <w:rPr>
          <w:sz w:val="22"/>
          <w:szCs w:val="22"/>
        </w:rPr>
        <w:fldChar w:fldCharType="separate"/>
      </w:r>
      <w:r w:rsidR="007C47C9">
        <w:rPr>
          <w:noProof/>
          <w:sz w:val="22"/>
          <w:szCs w:val="22"/>
        </w:rPr>
        <w:t>2</w:t>
      </w:r>
      <w:r w:rsidRPr="00A6576F">
        <w:rPr>
          <w:sz w:val="22"/>
          <w:szCs w:val="22"/>
        </w:rPr>
        <w:fldChar w:fldCharType="end"/>
      </w:r>
      <w:r w:rsidRPr="00A6576F">
        <w:rPr>
          <w:sz w:val="22"/>
          <w:szCs w:val="22"/>
        </w:rPr>
        <w:t xml:space="preserve"> </w:t>
      </w:r>
      <w:r w:rsidR="004E1675" w:rsidRPr="00A6576F">
        <w:rPr>
          <w:sz w:val="22"/>
          <w:szCs w:val="22"/>
        </w:rPr>
        <w:t>S</w:t>
      </w:r>
      <w:r w:rsidRPr="00A6576F">
        <w:rPr>
          <w:sz w:val="22"/>
          <w:szCs w:val="22"/>
        </w:rPr>
        <w:t xml:space="preserve">lot structure to support LAAT: Option </w:t>
      </w:r>
      <w:r w:rsidR="009C01C0" w:rsidRPr="00A6576F">
        <w:rPr>
          <w:sz w:val="22"/>
          <w:szCs w:val="22"/>
        </w:rPr>
        <w:t>2</w:t>
      </w:r>
    </w:p>
    <w:p w14:paraId="422242E5" w14:textId="77777777" w:rsidR="00C7129C" w:rsidRPr="00A6576F" w:rsidRDefault="00C7129C" w:rsidP="00C7129C">
      <w:pPr>
        <w:rPr>
          <w:sz w:val="22"/>
        </w:rPr>
      </w:pPr>
    </w:p>
    <w:p w14:paraId="3A56AA87" w14:textId="3AF83A00" w:rsidR="00C66E63" w:rsidRPr="00A6576F" w:rsidRDefault="00C7129C" w:rsidP="00C7129C">
      <w:pPr>
        <w:rPr>
          <w:sz w:val="22"/>
        </w:rPr>
      </w:pPr>
      <w:r w:rsidRPr="00A6576F">
        <w:rPr>
          <w:sz w:val="22"/>
        </w:rPr>
        <w:t xml:space="preserve">The blanking duration can have several configurations for </w:t>
      </w:r>
      <w:r w:rsidR="00A6576F" w:rsidRPr="00A6576F">
        <w:rPr>
          <w:sz w:val="22"/>
        </w:rPr>
        <w:t xml:space="preserve">device </w:t>
      </w:r>
      <w:r w:rsidRPr="00A6576F">
        <w:rPr>
          <w:sz w:val="22"/>
        </w:rPr>
        <w:t xml:space="preserve">to choose among transmission capacity, switching speed requirement, and collision detection accuracy. </w:t>
      </w:r>
      <w:r w:rsidR="00C16C9A" w:rsidRPr="00A6576F">
        <w:rPr>
          <w:sz w:val="22"/>
        </w:rPr>
        <w:t>Similar</w:t>
      </w:r>
      <w:r w:rsidR="00B35131">
        <w:rPr>
          <w:sz w:val="22"/>
        </w:rPr>
        <w:t>ly</w:t>
      </w:r>
      <w:r w:rsidR="00C16C9A" w:rsidRPr="00A6576F">
        <w:rPr>
          <w:sz w:val="22"/>
        </w:rPr>
        <w:t xml:space="preserve">, </w:t>
      </w:r>
      <w:r w:rsidRPr="00A6576F">
        <w:rPr>
          <w:sz w:val="22"/>
        </w:rPr>
        <w:t xml:space="preserve">LA period should be small enough to avoid another </w:t>
      </w:r>
      <w:r w:rsidR="00A6576F" w:rsidRPr="00A6576F">
        <w:rPr>
          <w:sz w:val="22"/>
        </w:rPr>
        <w:t xml:space="preserve">device </w:t>
      </w:r>
      <w:r w:rsidRPr="00A6576F">
        <w:rPr>
          <w:sz w:val="22"/>
        </w:rPr>
        <w:t>to grab the medium during this period.</w:t>
      </w:r>
      <w:r w:rsidR="002175DB" w:rsidRPr="00A6576F">
        <w:rPr>
          <w:sz w:val="22"/>
        </w:rPr>
        <w:t xml:space="preserve"> </w:t>
      </w:r>
      <w:r w:rsidR="00365B20" w:rsidRPr="00A6576F">
        <w:rPr>
          <w:sz w:val="22"/>
        </w:rPr>
        <w:t xml:space="preserve"> </w:t>
      </w:r>
      <w:r w:rsidR="008B70F0" w:rsidRPr="00A6576F">
        <w:rPr>
          <w:sz w:val="22"/>
        </w:rPr>
        <w:t xml:space="preserve"> </w:t>
      </w:r>
    </w:p>
    <w:p w14:paraId="3712B558" w14:textId="77777777" w:rsidR="009818B3" w:rsidRPr="00A6576F" w:rsidRDefault="009818B3" w:rsidP="00C7129C">
      <w:pPr>
        <w:rPr>
          <w:sz w:val="22"/>
        </w:rPr>
      </w:pPr>
    </w:p>
    <w:p w14:paraId="61AFF739" w14:textId="319885D7" w:rsidR="00131E55" w:rsidRPr="00A6576F" w:rsidRDefault="00131E55" w:rsidP="00131E55">
      <w:pPr>
        <w:tabs>
          <w:tab w:val="left" w:pos="751"/>
        </w:tabs>
        <w:rPr>
          <w:sz w:val="22"/>
          <w:szCs w:val="22"/>
        </w:rPr>
      </w:pPr>
      <w:r w:rsidRPr="00A6576F">
        <w:rPr>
          <w:sz w:val="22"/>
        </w:rPr>
        <w:t xml:space="preserve">In case that a </w:t>
      </w:r>
      <w:r w:rsidR="004C04EF" w:rsidRPr="00A6576F">
        <w:rPr>
          <w:sz w:val="22"/>
        </w:rPr>
        <w:t xml:space="preserve">NR V2X COT </w:t>
      </w:r>
      <w:r w:rsidRPr="00A6576F">
        <w:rPr>
          <w:sz w:val="22"/>
        </w:rPr>
        <w:t xml:space="preserve">can accommodate more than one slot, the special or partial blanked slot (SS) can be placed at </w:t>
      </w:r>
      <w:r w:rsidRPr="00A6576F">
        <w:rPr>
          <w:sz w:val="22"/>
          <w:szCs w:val="22"/>
        </w:rPr>
        <w:t xml:space="preserve">fixed or random position. e.g., </w:t>
      </w:r>
      <w:r w:rsidR="00A6576F" w:rsidRPr="00A6576F">
        <w:rPr>
          <w:sz w:val="22"/>
        </w:rPr>
        <w:t xml:space="preserve">device </w:t>
      </w:r>
      <w:r w:rsidRPr="00A6576F">
        <w:rPr>
          <w:sz w:val="22"/>
          <w:szCs w:val="22"/>
        </w:rPr>
        <w:t xml:space="preserve">can randomly select SS position to reduce the probability of using </w:t>
      </w:r>
      <w:r w:rsidR="00B35131">
        <w:rPr>
          <w:sz w:val="22"/>
          <w:szCs w:val="22"/>
        </w:rPr>
        <w:t xml:space="preserve">the </w:t>
      </w:r>
      <w:r w:rsidRPr="00A6576F">
        <w:rPr>
          <w:sz w:val="22"/>
          <w:szCs w:val="22"/>
        </w:rPr>
        <w:t xml:space="preserve">same slot for SS </w:t>
      </w:r>
      <w:r w:rsidR="00B35131">
        <w:rPr>
          <w:sz w:val="22"/>
          <w:szCs w:val="22"/>
        </w:rPr>
        <w:t>in order to minimize collision</w:t>
      </w:r>
      <w:r w:rsidRPr="00A6576F">
        <w:rPr>
          <w:sz w:val="22"/>
          <w:szCs w:val="22"/>
        </w:rPr>
        <w:t>. As an example shown in the Fig</w:t>
      </w:r>
      <w:r w:rsidR="0096178B" w:rsidRPr="00A6576F">
        <w:rPr>
          <w:sz w:val="22"/>
          <w:szCs w:val="22"/>
        </w:rPr>
        <w:t>ure 3</w:t>
      </w:r>
      <w:r w:rsidRPr="00A6576F">
        <w:rPr>
          <w:sz w:val="22"/>
          <w:szCs w:val="22"/>
        </w:rPr>
        <w:t xml:space="preserve">, each burst contains 3 subframes/slots. SS is randomly placed per burst. (TS stands for </w:t>
      </w:r>
      <w:r w:rsidR="0000317E" w:rsidRPr="00A6576F">
        <w:rPr>
          <w:sz w:val="22"/>
          <w:szCs w:val="22"/>
        </w:rPr>
        <w:t>T</w:t>
      </w:r>
      <w:r w:rsidRPr="00A6576F">
        <w:rPr>
          <w:sz w:val="22"/>
          <w:szCs w:val="22"/>
        </w:rPr>
        <w:t xml:space="preserve">ransmitted </w:t>
      </w:r>
      <w:r w:rsidR="0000317E" w:rsidRPr="00A6576F">
        <w:rPr>
          <w:sz w:val="22"/>
          <w:szCs w:val="22"/>
        </w:rPr>
        <w:t>S</w:t>
      </w:r>
      <w:r w:rsidRPr="00A6576F">
        <w:rPr>
          <w:sz w:val="22"/>
          <w:szCs w:val="22"/>
        </w:rPr>
        <w:t>lot).</w:t>
      </w:r>
    </w:p>
    <w:p w14:paraId="36AC404B" w14:textId="77777777" w:rsidR="00131E55" w:rsidRPr="00A6576F" w:rsidRDefault="00131E55" w:rsidP="00131E55">
      <w:pPr>
        <w:tabs>
          <w:tab w:val="left" w:pos="751"/>
        </w:tabs>
        <w:rPr>
          <w:sz w:val="22"/>
          <w:szCs w:val="22"/>
        </w:rPr>
      </w:pPr>
    </w:p>
    <w:p w14:paraId="7B34371F" w14:textId="77777777" w:rsidR="0096178B" w:rsidRPr="00A6576F" w:rsidRDefault="0096178B" w:rsidP="0096178B">
      <w:pPr>
        <w:keepNext/>
        <w:tabs>
          <w:tab w:val="left" w:pos="751"/>
        </w:tabs>
        <w:jc w:val="center"/>
        <w:rPr>
          <w:sz w:val="22"/>
          <w:szCs w:val="22"/>
        </w:rPr>
      </w:pPr>
      <w:r w:rsidRPr="00A6576F">
        <w:rPr>
          <w:noProof/>
          <w:sz w:val="22"/>
          <w:szCs w:val="22"/>
        </w:rPr>
        <w:drawing>
          <wp:inline distT="0" distB="0" distL="0" distR="0" wp14:anchorId="78CDDA71" wp14:editId="1E9F7226">
            <wp:extent cx="4102099" cy="48260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02099" cy="482600"/>
                    </a:xfrm>
                    <a:prstGeom prst="rect">
                      <a:avLst/>
                    </a:prstGeom>
                  </pic:spPr>
                </pic:pic>
              </a:graphicData>
            </a:graphic>
          </wp:inline>
        </w:drawing>
      </w:r>
    </w:p>
    <w:p w14:paraId="1DF3E77D" w14:textId="18560F65" w:rsidR="005B39F7" w:rsidRPr="00A6576F" w:rsidRDefault="005B39F7" w:rsidP="0096178B">
      <w:pPr>
        <w:keepNext/>
        <w:tabs>
          <w:tab w:val="left" w:pos="751"/>
        </w:tabs>
        <w:jc w:val="center"/>
        <w:rPr>
          <w:sz w:val="22"/>
          <w:szCs w:val="22"/>
        </w:rPr>
      </w:pPr>
      <w:r w:rsidRPr="00A6576F">
        <w:rPr>
          <w:sz w:val="22"/>
          <w:szCs w:val="22"/>
        </w:rPr>
        <w:t>0</w:t>
      </w:r>
    </w:p>
    <w:p w14:paraId="092B4E06" w14:textId="331E04BD" w:rsidR="00131E55" w:rsidRPr="00A6576F" w:rsidRDefault="0096178B" w:rsidP="0096178B">
      <w:pPr>
        <w:pStyle w:val="Caption"/>
        <w:rPr>
          <w:sz w:val="22"/>
          <w:szCs w:val="22"/>
        </w:rPr>
      </w:pPr>
      <w:r w:rsidRPr="00A6576F">
        <w:rPr>
          <w:sz w:val="22"/>
          <w:szCs w:val="22"/>
        </w:rPr>
        <w:t xml:space="preserve">Figure </w:t>
      </w:r>
      <w:r w:rsidRPr="00A6576F">
        <w:rPr>
          <w:sz w:val="22"/>
          <w:szCs w:val="22"/>
        </w:rPr>
        <w:fldChar w:fldCharType="begin"/>
      </w:r>
      <w:r w:rsidRPr="00A6576F">
        <w:rPr>
          <w:sz w:val="22"/>
          <w:szCs w:val="22"/>
        </w:rPr>
        <w:instrText xml:space="preserve"> SEQ Figure \* ARABIC </w:instrText>
      </w:r>
      <w:r w:rsidRPr="00A6576F">
        <w:rPr>
          <w:sz w:val="22"/>
          <w:szCs w:val="22"/>
        </w:rPr>
        <w:fldChar w:fldCharType="separate"/>
      </w:r>
      <w:r w:rsidR="007C47C9">
        <w:rPr>
          <w:noProof/>
          <w:sz w:val="22"/>
          <w:szCs w:val="22"/>
        </w:rPr>
        <w:t>3</w:t>
      </w:r>
      <w:r w:rsidRPr="00A6576F">
        <w:rPr>
          <w:sz w:val="22"/>
          <w:szCs w:val="22"/>
        </w:rPr>
        <w:fldChar w:fldCharType="end"/>
      </w:r>
      <w:r w:rsidRPr="00A6576F">
        <w:rPr>
          <w:sz w:val="22"/>
          <w:szCs w:val="22"/>
        </w:rPr>
        <w:t xml:space="preserve"> </w:t>
      </w:r>
      <w:r w:rsidR="004E1675" w:rsidRPr="00A6576F">
        <w:rPr>
          <w:sz w:val="22"/>
          <w:szCs w:val="22"/>
        </w:rPr>
        <w:t>S</w:t>
      </w:r>
      <w:r w:rsidRPr="00A6576F">
        <w:rPr>
          <w:sz w:val="22"/>
          <w:szCs w:val="22"/>
        </w:rPr>
        <w:t>lot structure to support LAAT for multi-slot COT</w:t>
      </w:r>
    </w:p>
    <w:p w14:paraId="6F9DD9FE" w14:textId="77777777" w:rsidR="005B39F7" w:rsidRPr="00A6576F" w:rsidRDefault="005B39F7" w:rsidP="005B39F7">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NR V2X to consider support Listen Again After Talk (LAAT) enhancement to the LBT procedure</w:t>
      </w:r>
    </w:p>
    <w:p w14:paraId="15C0D37F" w14:textId="77777777" w:rsidR="005B39F7" w:rsidRPr="00A6576F" w:rsidRDefault="005B39F7" w:rsidP="005B39F7">
      <w:pPr>
        <w:rPr>
          <w:rFonts w:eastAsia="SimSun"/>
          <w:b/>
          <w:i/>
          <w:sz w:val="22"/>
          <w:szCs w:val="22"/>
        </w:rPr>
      </w:pPr>
    </w:p>
    <w:p w14:paraId="217E6A1C" w14:textId="74161FF9" w:rsidR="005B39F7" w:rsidRPr="00A6576F" w:rsidRDefault="005B39F7" w:rsidP="005B39F7">
      <w:pPr>
        <w:rPr>
          <w:rFonts w:eastAsia="SimSun"/>
          <w:b/>
          <w:i/>
          <w:sz w:val="22"/>
          <w:szCs w:val="22"/>
        </w:rPr>
      </w:pPr>
      <w:r w:rsidRPr="00A6576F">
        <w:rPr>
          <w:rFonts w:eastAsia="SimSun"/>
          <w:b/>
          <w:bCs/>
          <w:i/>
          <w:sz w:val="22"/>
          <w:szCs w:val="22"/>
          <w:u w:val="single"/>
        </w:rPr>
        <w:lastRenderedPageBreak/>
        <w:t>Proposal 2</w:t>
      </w:r>
      <w:r w:rsidRPr="00A6576F">
        <w:rPr>
          <w:rFonts w:eastAsia="SimSun"/>
          <w:bCs/>
          <w:i/>
          <w:szCs w:val="22"/>
        </w:rPr>
        <w:t xml:space="preserve">: </w:t>
      </w:r>
      <w:r w:rsidRPr="00A6576F">
        <w:rPr>
          <w:rFonts w:eastAsia="SimSun"/>
          <w:b/>
          <w:i/>
          <w:sz w:val="22"/>
          <w:szCs w:val="22"/>
        </w:rPr>
        <w:t xml:space="preserve">To support LAAT, NR V2X utilizes the slot format that allows Tx/Rx switching within </w:t>
      </w:r>
      <w:r w:rsidR="00A43A6F">
        <w:rPr>
          <w:rFonts w:eastAsia="SimSun"/>
          <w:b/>
          <w:i/>
          <w:sz w:val="22"/>
          <w:szCs w:val="22"/>
        </w:rPr>
        <w:t>a</w:t>
      </w:r>
      <w:r w:rsidRPr="00A6576F">
        <w:rPr>
          <w:rFonts w:eastAsia="SimSun"/>
          <w:b/>
          <w:i/>
          <w:sz w:val="22"/>
          <w:szCs w:val="22"/>
        </w:rPr>
        <w:t xml:space="preserve"> slot</w:t>
      </w:r>
    </w:p>
    <w:p w14:paraId="389963FE" w14:textId="77777777" w:rsidR="005B39F7" w:rsidRPr="00A6576F" w:rsidRDefault="005B39F7" w:rsidP="005B39F7"/>
    <w:p w14:paraId="5E98E799" w14:textId="01CFEB40" w:rsidR="002D7DDA" w:rsidRPr="00A6576F" w:rsidRDefault="002D7DDA" w:rsidP="002D7DDA">
      <w:pPr>
        <w:pStyle w:val="Heading2"/>
      </w:pPr>
      <w:r w:rsidRPr="00A6576F">
        <w:t>LAAT Operation</w:t>
      </w:r>
    </w:p>
    <w:p w14:paraId="14DFDDE7" w14:textId="765F45D0" w:rsidR="003B6B43" w:rsidRPr="00A6576F" w:rsidRDefault="00A304D1" w:rsidP="0040558C">
      <w:pPr>
        <w:tabs>
          <w:tab w:val="left" w:pos="751"/>
        </w:tabs>
        <w:rPr>
          <w:sz w:val="22"/>
        </w:rPr>
      </w:pPr>
      <w:r w:rsidRPr="00A6576F">
        <w:rPr>
          <w:sz w:val="22"/>
        </w:rPr>
        <w:t>LAAT provide the device additional chance to re-sense the med</w:t>
      </w:r>
      <w:r w:rsidR="003B6B43" w:rsidRPr="00A6576F">
        <w:rPr>
          <w:sz w:val="22"/>
        </w:rPr>
        <w:t>i</w:t>
      </w:r>
      <w:r w:rsidR="00E23997" w:rsidRPr="00A6576F">
        <w:rPr>
          <w:sz w:val="22"/>
        </w:rPr>
        <w:t>um</w:t>
      </w:r>
      <w:r w:rsidR="003B6B43" w:rsidRPr="00A6576F">
        <w:rPr>
          <w:sz w:val="22"/>
        </w:rPr>
        <w:t xml:space="preserve"> in order to avoid collision with other devices. In this subsection, we consider the </w:t>
      </w:r>
      <w:r w:rsidR="00A6576F" w:rsidRPr="00A6576F">
        <w:rPr>
          <w:sz w:val="22"/>
        </w:rPr>
        <w:t xml:space="preserve">device </w:t>
      </w:r>
      <w:r w:rsidR="003B6B43" w:rsidRPr="00A6576F">
        <w:rPr>
          <w:sz w:val="22"/>
        </w:rPr>
        <w:t>a</w:t>
      </w:r>
      <w:r w:rsidR="0040558C" w:rsidRPr="00A6576F">
        <w:rPr>
          <w:sz w:val="22"/>
        </w:rPr>
        <w:t xml:space="preserve">ctions </w:t>
      </w:r>
      <w:r w:rsidR="003B6B43" w:rsidRPr="00A6576F">
        <w:rPr>
          <w:sz w:val="22"/>
        </w:rPr>
        <w:t>after LAAT detects medi</w:t>
      </w:r>
      <w:r w:rsidR="00E23997" w:rsidRPr="00A6576F">
        <w:rPr>
          <w:sz w:val="22"/>
        </w:rPr>
        <w:t>um</w:t>
      </w:r>
      <w:r w:rsidR="003B6B43" w:rsidRPr="00A6576F">
        <w:rPr>
          <w:sz w:val="22"/>
        </w:rPr>
        <w:t xml:space="preserve"> collision.</w:t>
      </w:r>
    </w:p>
    <w:p w14:paraId="749CB365" w14:textId="3B1D4BAA" w:rsidR="0040558C" w:rsidRPr="00A6576F" w:rsidRDefault="0040558C" w:rsidP="0040558C">
      <w:pPr>
        <w:tabs>
          <w:tab w:val="left" w:pos="751"/>
        </w:tabs>
        <w:rPr>
          <w:sz w:val="22"/>
        </w:rPr>
      </w:pPr>
      <w:r w:rsidRPr="00A6576F">
        <w:rPr>
          <w:sz w:val="22"/>
        </w:rPr>
        <w:t xml:space="preserve">In case collision is detected, e.g., </w:t>
      </w:r>
      <w:r w:rsidR="00147F55" w:rsidRPr="00A6576F">
        <w:rPr>
          <w:sz w:val="22"/>
        </w:rPr>
        <w:t>i</w:t>
      </w:r>
      <w:r w:rsidRPr="00A6576F">
        <w:rPr>
          <w:sz w:val="22"/>
        </w:rPr>
        <w:t xml:space="preserve">f there are still more broadcast/group-cast slots within current reservation period, </w:t>
      </w:r>
      <w:r w:rsidR="00A6576F" w:rsidRPr="00A6576F">
        <w:rPr>
          <w:sz w:val="22"/>
        </w:rPr>
        <w:t xml:space="preserve">device </w:t>
      </w:r>
      <w:r w:rsidRPr="00A6576F">
        <w:rPr>
          <w:sz w:val="22"/>
        </w:rPr>
        <w:t xml:space="preserve">should stop using them. Instead, </w:t>
      </w:r>
      <w:r w:rsidR="00A6576F" w:rsidRPr="00A6576F">
        <w:rPr>
          <w:sz w:val="22"/>
        </w:rPr>
        <w:t xml:space="preserve">device </w:t>
      </w:r>
      <w:r w:rsidRPr="00A6576F">
        <w:rPr>
          <w:sz w:val="22"/>
        </w:rPr>
        <w:t>should start reserving procedure again (e.g. via LBT as shown in the Fig</w:t>
      </w:r>
      <w:r w:rsidR="00F639A8" w:rsidRPr="00A6576F">
        <w:rPr>
          <w:sz w:val="22"/>
        </w:rPr>
        <w:t>ure 4</w:t>
      </w:r>
      <w:r w:rsidRPr="00A6576F">
        <w:rPr>
          <w:sz w:val="22"/>
        </w:rPr>
        <w:t xml:space="preserve">). The slots marked with light gray is the originally reserved slots. The slots marked with dark red and green are the new ones after LBT. Note that LBT parameters should also </w:t>
      </w:r>
      <w:r w:rsidR="00A43A6F">
        <w:rPr>
          <w:sz w:val="22"/>
        </w:rPr>
        <w:t xml:space="preserve">be </w:t>
      </w:r>
      <w:r w:rsidRPr="00A6576F">
        <w:rPr>
          <w:sz w:val="22"/>
        </w:rPr>
        <w:t xml:space="preserve">adjusted to reduce collision probability. </w:t>
      </w:r>
    </w:p>
    <w:p w14:paraId="3A9B2373" w14:textId="77777777" w:rsidR="0040558C" w:rsidRPr="00A6576F" w:rsidRDefault="0040558C" w:rsidP="0040558C">
      <w:pPr>
        <w:tabs>
          <w:tab w:val="left" w:pos="751"/>
        </w:tabs>
        <w:rPr>
          <w:sz w:val="22"/>
        </w:rPr>
      </w:pPr>
    </w:p>
    <w:p w14:paraId="1C017C06" w14:textId="77777777" w:rsidR="00A53BD7" w:rsidRPr="00A6576F" w:rsidRDefault="00A53BD7" w:rsidP="00A53BD7">
      <w:pPr>
        <w:keepNext/>
        <w:tabs>
          <w:tab w:val="left" w:pos="751"/>
        </w:tabs>
        <w:jc w:val="center"/>
      </w:pPr>
      <w:r w:rsidRPr="00A6576F">
        <w:rPr>
          <w:noProof/>
          <w:sz w:val="22"/>
        </w:rPr>
        <w:drawing>
          <wp:inline distT="0" distB="0" distL="0" distR="0" wp14:anchorId="3646BEF0" wp14:editId="15D7EA6A">
            <wp:extent cx="4767851" cy="55069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47664" cy="559912"/>
                    </a:xfrm>
                    <a:prstGeom prst="rect">
                      <a:avLst/>
                    </a:prstGeom>
                  </pic:spPr>
                </pic:pic>
              </a:graphicData>
            </a:graphic>
          </wp:inline>
        </w:drawing>
      </w:r>
    </w:p>
    <w:p w14:paraId="348C0AB6" w14:textId="366011E6" w:rsidR="00A53BD7" w:rsidRPr="00A43A6F" w:rsidRDefault="00A53BD7" w:rsidP="00A53BD7">
      <w:pPr>
        <w:pStyle w:val="Caption"/>
        <w:rPr>
          <w:sz w:val="22"/>
        </w:rPr>
      </w:pPr>
      <w:r w:rsidRPr="00A43A6F">
        <w:rPr>
          <w:sz w:val="22"/>
        </w:rPr>
        <w:t xml:space="preserve">Figure </w:t>
      </w:r>
      <w:r w:rsidRPr="00A43A6F">
        <w:rPr>
          <w:sz w:val="22"/>
        </w:rPr>
        <w:fldChar w:fldCharType="begin"/>
      </w:r>
      <w:r w:rsidRPr="00A43A6F">
        <w:rPr>
          <w:sz w:val="22"/>
        </w:rPr>
        <w:instrText xml:space="preserve"> SEQ Figure \* ARABIC </w:instrText>
      </w:r>
      <w:r w:rsidRPr="00A43A6F">
        <w:rPr>
          <w:sz w:val="22"/>
        </w:rPr>
        <w:fldChar w:fldCharType="separate"/>
      </w:r>
      <w:r w:rsidR="007C47C9">
        <w:rPr>
          <w:noProof/>
          <w:sz w:val="22"/>
        </w:rPr>
        <w:t>4</w:t>
      </w:r>
      <w:r w:rsidRPr="00A43A6F">
        <w:rPr>
          <w:sz w:val="22"/>
        </w:rPr>
        <w:fldChar w:fldCharType="end"/>
      </w:r>
      <w:r w:rsidRPr="00A43A6F">
        <w:rPr>
          <w:sz w:val="22"/>
        </w:rPr>
        <w:t xml:space="preserve"> LAAT operation illustration</w:t>
      </w:r>
    </w:p>
    <w:p w14:paraId="1C70CFC2" w14:textId="273C767D" w:rsidR="0040558C" w:rsidRPr="00A6576F" w:rsidRDefault="0040558C" w:rsidP="0040558C">
      <w:pPr>
        <w:tabs>
          <w:tab w:val="left" w:pos="751"/>
        </w:tabs>
        <w:rPr>
          <w:sz w:val="22"/>
        </w:rPr>
      </w:pPr>
      <w:r w:rsidRPr="00A6576F">
        <w:rPr>
          <w:sz w:val="22"/>
        </w:rPr>
        <w:t xml:space="preserve">If there </w:t>
      </w:r>
      <w:r w:rsidR="00C77B99" w:rsidRPr="00A6576F">
        <w:rPr>
          <w:sz w:val="22"/>
        </w:rPr>
        <w:t xml:space="preserve">are </w:t>
      </w:r>
      <w:r w:rsidR="003072CB" w:rsidRPr="00A6576F">
        <w:rPr>
          <w:sz w:val="22"/>
        </w:rPr>
        <w:t xml:space="preserve">still </w:t>
      </w:r>
      <w:r w:rsidRPr="00A6576F">
        <w:rPr>
          <w:sz w:val="22"/>
        </w:rPr>
        <w:t xml:space="preserve">more occasions to broadcast/groupcast within current reservation period, </w:t>
      </w:r>
      <w:r w:rsidR="00A6576F" w:rsidRPr="00A6576F">
        <w:rPr>
          <w:sz w:val="22"/>
        </w:rPr>
        <w:t xml:space="preserve">device </w:t>
      </w:r>
      <w:r w:rsidRPr="00A6576F">
        <w:rPr>
          <w:sz w:val="22"/>
        </w:rPr>
        <w:t>should adjust LBT parameters to reduce collision probability</w:t>
      </w:r>
      <w:r w:rsidR="002E6E7B" w:rsidRPr="00A6576F">
        <w:rPr>
          <w:sz w:val="22"/>
        </w:rPr>
        <w:t xml:space="preserve"> for </w:t>
      </w:r>
      <w:r w:rsidR="00A43A6F">
        <w:rPr>
          <w:sz w:val="22"/>
        </w:rPr>
        <w:t xml:space="preserve">the </w:t>
      </w:r>
      <w:r w:rsidR="000A7215">
        <w:rPr>
          <w:sz w:val="22"/>
        </w:rPr>
        <w:t>future</w:t>
      </w:r>
      <w:r w:rsidR="002E6E7B" w:rsidRPr="00A6576F">
        <w:rPr>
          <w:sz w:val="22"/>
        </w:rPr>
        <w:t xml:space="preserve"> medium access attempt, such as i</w:t>
      </w:r>
      <w:r w:rsidRPr="00A6576F">
        <w:rPr>
          <w:sz w:val="22"/>
        </w:rPr>
        <w:t>ncreas</w:t>
      </w:r>
      <w:r w:rsidR="002E6E7B" w:rsidRPr="00A6576F">
        <w:rPr>
          <w:sz w:val="22"/>
        </w:rPr>
        <w:t>ing</w:t>
      </w:r>
      <w:r w:rsidRPr="00A6576F">
        <w:rPr>
          <w:sz w:val="22"/>
        </w:rPr>
        <w:t xml:space="preserve"> SS frequency and/or adjust SS configuration in order to have more LA chances. In case no collision is detected</w:t>
      </w:r>
      <w:r w:rsidR="00314C47">
        <w:rPr>
          <w:sz w:val="22"/>
        </w:rPr>
        <w:t>, d</w:t>
      </w:r>
      <w:r w:rsidR="009124D3" w:rsidRPr="00A6576F">
        <w:rPr>
          <w:sz w:val="22"/>
        </w:rPr>
        <w:t xml:space="preserve">evice </w:t>
      </w:r>
      <w:r w:rsidR="00D603D7" w:rsidRPr="00A6576F">
        <w:rPr>
          <w:sz w:val="22"/>
        </w:rPr>
        <w:t>can r</w:t>
      </w:r>
      <w:r w:rsidRPr="00A6576F">
        <w:rPr>
          <w:sz w:val="22"/>
        </w:rPr>
        <w:t>educe SS frequency and/or adjust SS configurations to have less LA occasions or LA time per occasion.</w:t>
      </w:r>
    </w:p>
    <w:p w14:paraId="3AA57E74" w14:textId="77777777" w:rsidR="0040558C" w:rsidRPr="00A6576F" w:rsidRDefault="0040558C" w:rsidP="0040558C">
      <w:pPr>
        <w:tabs>
          <w:tab w:val="left" w:pos="751"/>
        </w:tabs>
        <w:rPr>
          <w:sz w:val="22"/>
        </w:rPr>
      </w:pPr>
    </w:p>
    <w:p w14:paraId="4520ED7F" w14:textId="748DBCD6" w:rsidR="009B1D7F" w:rsidRPr="00A6576F" w:rsidRDefault="009B1D7F" w:rsidP="009B1D7F">
      <w:pPr>
        <w:rPr>
          <w:rFonts w:eastAsia="SimSun"/>
          <w:b/>
          <w:i/>
          <w:sz w:val="22"/>
          <w:szCs w:val="22"/>
        </w:rPr>
      </w:pPr>
      <w:r w:rsidRPr="00A6576F">
        <w:rPr>
          <w:rFonts w:eastAsia="SimSun"/>
          <w:b/>
          <w:bCs/>
          <w:i/>
          <w:sz w:val="22"/>
          <w:szCs w:val="22"/>
          <w:u w:val="single"/>
        </w:rPr>
        <w:t xml:space="preserve">Proposal </w:t>
      </w:r>
      <w:r w:rsidR="006A53AA" w:rsidRPr="00A6576F">
        <w:rPr>
          <w:rFonts w:eastAsia="SimSun"/>
          <w:b/>
          <w:bCs/>
          <w:i/>
          <w:sz w:val="22"/>
          <w:szCs w:val="22"/>
          <w:u w:val="single"/>
        </w:rPr>
        <w:t>3</w:t>
      </w:r>
      <w:r w:rsidRPr="00A6576F">
        <w:rPr>
          <w:rFonts w:eastAsia="SimSun"/>
          <w:bCs/>
          <w:i/>
          <w:szCs w:val="22"/>
        </w:rPr>
        <w:t xml:space="preserve">: </w:t>
      </w:r>
      <w:r w:rsidRPr="00A6576F">
        <w:rPr>
          <w:rFonts w:eastAsia="SimSun"/>
          <w:b/>
          <w:i/>
          <w:sz w:val="22"/>
          <w:szCs w:val="22"/>
        </w:rPr>
        <w:t>To support LAAT, NR V2X device performs additional LBT if collision is detected during LAAT and adjust LAAT operation/configuration based on the LAAT results</w:t>
      </w:r>
    </w:p>
    <w:p w14:paraId="61E959F4" w14:textId="77777777" w:rsidR="009B1D7F" w:rsidRPr="00A6576F" w:rsidRDefault="009B1D7F" w:rsidP="0040558C">
      <w:pPr>
        <w:tabs>
          <w:tab w:val="left" w:pos="751"/>
        </w:tabs>
        <w:rPr>
          <w:sz w:val="22"/>
        </w:rPr>
      </w:pPr>
    </w:p>
    <w:p w14:paraId="28FA5A05" w14:textId="26CE0A17" w:rsidR="00D603D7" w:rsidRPr="00A6576F" w:rsidRDefault="00D603D7" w:rsidP="00D603D7">
      <w:pPr>
        <w:pStyle w:val="Heading2"/>
      </w:pPr>
      <w:r w:rsidRPr="00A6576F">
        <w:t xml:space="preserve">LAAT </w:t>
      </w:r>
      <w:r w:rsidR="009B1D7F" w:rsidRPr="00A6576F">
        <w:t>Adaptation</w:t>
      </w:r>
    </w:p>
    <w:p w14:paraId="50491E60" w14:textId="60DBD00D" w:rsidR="00131E55" w:rsidRDefault="006A53AA" w:rsidP="00131E55">
      <w:pPr>
        <w:tabs>
          <w:tab w:val="left" w:pos="751"/>
        </w:tabs>
        <w:rPr>
          <w:sz w:val="22"/>
        </w:rPr>
      </w:pPr>
      <w:r w:rsidRPr="00A6576F">
        <w:rPr>
          <w:sz w:val="22"/>
        </w:rPr>
        <w:t>Even though LAAT reduces the collision probability which is important for the V2X services, it also introduces additional overhead in the system</w:t>
      </w:r>
      <w:r w:rsidR="00157E3A" w:rsidRPr="00A6576F">
        <w:rPr>
          <w:sz w:val="22"/>
        </w:rPr>
        <w:t>, a</w:t>
      </w:r>
      <w:r w:rsidR="00131E55" w:rsidRPr="00A6576F">
        <w:rPr>
          <w:sz w:val="22"/>
        </w:rPr>
        <w:t xml:space="preserve">s </w:t>
      </w:r>
      <w:r w:rsidR="00A6576F" w:rsidRPr="00A6576F">
        <w:rPr>
          <w:sz w:val="22"/>
        </w:rPr>
        <w:t xml:space="preserve">device </w:t>
      </w:r>
      <w:r w:rsidR="00131E55" w:rsidRPr="00A6576F">
        <w:rPr>
          <w:sz w:val="22"/>
        </w:rPr>
        <w:t>has to sacrifice transmission time for LA</w:t>
      </w:r>
      <w:r w:rsidR="009474F2" w:rsidRPr="00A6576F">
        <w:rPr>
          <w:sz w:val="22"/>
        </w:rPr>
        <w:t>. This leads to reduced</w:t>
      </w:r>
      <w:r w:rsidR="00131E55" w:rsidRPr="00A6576F">
        <w:rPr>
          <w:sz w:val="22"/>
        </w:rPr>
        <w:t xml:space="preserve"> range or capacity. Therefore, frequency of using SS should be carefully designed. Several factors could be used to control SS frequency.</w:t>
      </w:r>
    </w:p>
    <w:p w14:paraId="30607A87" w14:textId="77777777" w:rsidR="00943D22" w:rsidRPr="00A6576F" w:rsidRDefault="00943D22" w:rsidP="00131E55">
      <w:pPr>
        <w:tabs>
          <w:tab w:val="left" w:pos="751"/>
        </w:tabs>
        <w:rPr>
          <w:sz w:val="22"/>
        </w:rPr>
      </w:pPr>
    </w:p>
    <w:p w14:paraId="687A7602" w14:textId="3772FB26" w:rsidR="00131E55" w:rsidRPr="00A6576F" w:rsidRDefault="00131E55" w:rsidP="00FC6F85">
      <w:pPr>
        <w:pStyle w:val="ListParagraph"/>
        <w:numPr>
          <w:ilvl w:val="0"/>
          <w:numId w:val="12"/>
        </w:numPr>
        <w:tabs>
          <w:tab w:val="left" w:pos="751"/>
        </w:tabs>
        <w:rPr>
          <w:rFonts w:ascii="Times New Roman" w:hAnsi="Times New Roman"/>
        </w:rPr>
      </w:pPr>
      <w:r w:rsidRPr="00A6576F">
        <w:rPr>
          <w:rFonts w:ascii="Times New Roman" w:hAnsi="Times New Roman"/>
        </w:rPr>
        <w:t xml:space="preserve">Speed of </w:t>
      </w:r>
      <w:r w:rsidR="00A6576F" w:rsidRPr="00A6576F">
        <w:rPr>
          <w:rFonts w:ascii="Times New Roman" w:hAnsi="Times New Roman"/>
        </w:rPr>
        <w:t>device</w:t>
      </w:r>
      <w:r w:rsidR="00653583" w:rsidRPr="00A6576F">
        <w:rPr>
          <w:rFonts w:ascii="Times New Roman" w:hAnsi="Times New Roman"/>
        </w:rPr>
        <w:t xml:space="preserve">: </w:t>
      </w:r>
      <w:r w:rsidRPr="00A6576F">
        <w:rPr>
          <w:rFonts w:ascii="Times New Roman" w:hAnsi="Times New Roman"/>
        </w:rPr>
        <w:t xml:space="preserve">High speed </w:t>
      </w:r>
      <w:r w:rsidR="00A6576F" w:rsidRPr="00A6576F">
        <w:rPr>
          <w:rFonts w:ascii="Times New Roman" w:hAnsi="Times New Roman"/>
        </w:rPr>
        <w:t xml:space="preserve">device </w:t>
      </w:r>
      <w:r w:rsidRPr="00A6576F">
        <w:rPr>
          <w:rFonts w:ascii="Times New Roman" w:hAnsi="Times New Roman"/>
        </w:rPr>
        <w:t xml:space="preserve">has more chances to enter another communication group which it previously did not belong to. Thus, it has more chances to cause collisions. A possible design is to scale SS frequency based on </w:t>
      </w:r>
      <w:r w:rsidR="00A6576F" w:rsidRPr="00A6576F">
        <w:rPr>
          <w:rFonts w:ascii="Times New Roman" w:hAnsi="Times New Roman"/>
        </w:rPr>
        <w:t xml:space="preserve">device </w:t>
      </w:r>
      <w:r w:rsidRPr="00A6576F">
        <w:rPr>
          <w:rFonts w:ascii="Times New Roman" w:hAnsi="Times New Roman"/>
        </w:rPr>
        <w:t xml:space="preserve">speed. i.e., </w:t>
      </w:r>
      <w:r w:rsidR="00A6576F" w:rsidRPr="00A6576F">
        <w:rPr>
          <w:rFonts w:ascii="Times New Roman" w:hAnsi="Times New Roman"/>
        </w:rPr>
        <w:t xml:space="preserve">device </w:t>
      </w:r>
      <w:r w:rsidRPr="00A6576F">
        <w:rPr>
          <w:rFonts w:ascii="Times New Roman" w:hAnsi="Times New Roman"/>
        </w:rPr>
        <w:t>increases/decreases SS frequency when its speed increases/decreases.</w:t>
      </w:r>
    </w:p>
    <w:p w14:paraId="616F96B4" w14:textId="22456078" w:rsidR="00131E55" w:rsidRPr="00A6576F" w:rsidRDefault="00131E55" w:rsidP="00FC6F85">
      <w:pPr>
        <w:pStyle w:val="ListParagraph"/>
        <w:numPr>
          <w:ilvl w:val="0"/>
          <w:numId w:val="12"/>
        </w:numPr>
        <w:tabs>
          <w:tab w:val="left" w:pos="751"/>
        </w:tabs>
        <w:rPr>
          <w:rFonts w:ascii="Times New Roman" w:hAnsi="Times New Roman"/>
        </w:rPr>
      </w:pPr>
      <w:r w:rsidRPr="00A6576F">
        <w:rPr>
          <w:rFonts w:ascii="Times New Roman" w:hAnsi="Times New Roman"/>
        </w:rPr>
        <w:t>Priority of message</w:t>
      </w:r>
      <w:r w:rsidR="00653583" w:rsidRPr="00A6576F">
        <w:rPr>
          <w:rFonts w:ascii="Times New Roman" w:hAnsi="Times New Roman"/>
        </w:rPr>
        <w:t xml:space="preserve">: </w:t>
      </w:r>
      <w:r w:rsidRPr="00A6576F">
        <w:rPr>
          <w:rFonts w:ascii="Times New Roman" w:hAnsi="Times New Roman"/>
        </w:rPr>
        <w:t xml:space="preserve">For high priority message, reliability is more important. Thus, it might be better to detect the collision at early stage so that </w:t>
      </w:r>
      <w:r w:rsidR="00523D37">
        <w:rPr>
          <w:rFonts w:ascii="Times New Roman" w:hAnsi="Times New Roman"/>
        </w:rPr>
        <w:t>device</w:t>
      </w:r>
      <w:r w:rsidRPr="00A6576F">
        <w:rPr>
          <w:rFonts w:ascii="Times New Roman" w:hAnsi="Times New Roman"/>
        </w:rPr>
        <w:t xml:space="preserve"> can perform re-transmission etc. A possible design is to scale SS frequency based on priority of message.</w:t>
      </w:r>
    </w:p>
    <w:p w14:paraId="542762C8" w14:textId="7FD74793" w:rsidR="00131E55" w:rsidRPr="00A6576F" w:rsidRDefault="00131E55" w:rsidP="00FC6F85">
      <w:pPr>
        <w:pStyle w:val="ListParagraph"/>
        <w:numPr>
          <w:ilvl w:val="0"/>
          <w:numId w:val="12"/>
        </w:numPr>
        <w:tabs>
          <w:tab w:val="left" w:pos="751"/>
        </w:tabs>
        <w:rPr>
          <w:rFonts w:ascii="Times New Roman" w:hAnsi="Times New Roman"/>
        </w:rPr>
      </w:pPr>
      <w:r w:rsidRPr="00A6576F">
        <w:rPr>
          <w:rFonts w:ascii="Times New Roman" w:hAnsi="Times New Roman"/>
        </w:rPr>
        <w:t xml:space="preserve">LA results, </w:t>
      </w:r>
      <w:r w:rsidR="00653583" w:rsidRPr="00A6576F">
        <w:rPr>
          <w:rFonts w:ascii="Times New Roman" w:hAnsi="Times New Roman"/>
        </w:rPr>
        <w:t>e</w:t>
      </w:r>
      <w:r w:rsidRPr="00A6576F">
        <w:rPr>
          <w:rFonts w:ascii="Times New Roman" w:hAnsi="Times New Roman"/>
        </w:rPr>
        <w:t>ithe</w:t>
      </w:r>
      <w:r w:rsidR="00653583" w:rsidRPr="00A6576F">
        <w:rPr>
          <w:rFonts w:ascii="Times New Roman" w:hAnsi="Times New Roman"/>
        </w:rPr>
        <w:t>r “collision” or “no collision”:</w:t>
      </w:r>
      <w:r w:rsidRPr="00A6576F">
        <w:rPr>
          <w:rFonts w:ascii="Times New Roman" w:hAnsi="Times New Roman"/>
        </w:rPr>
        <w:t xml:space="preserve"> In case possibility of “no collision” increases, </w:t>
      </w:r>
      <w:r w:rsidR="00A6576F" w:rsidRPr="00A6576F">
        <w:rPr>
          <w:rFonts w:ascii="Times New Roman" w:hAnsi="Times New Roman"/>
        </w:rPr>
        <w:t xml:space="preserve">device </w:t>
      </w:r>
      <w:r w:rsidRPr="00A6576F">
        <w:rPr>
          <w:rFonts w:ascii="Times New Roman" w:hAnsi="Times New Roman"/>
        </w:rPr>
        <w:t xml:space="preserve">could reduce SS frequency. Otherwise in case probability of “collision” increases, </w:t>
      </w:r>
      <w:r w:rsidR="00A6576F" w:rsidRPr="00A6576F">
        <w:rPr>
          <w:rFonts w:ascii="Times New Roman" w:hAnsi="Times New Roman"/>
        </w:rPr>
        <w:t>device</w:t>
      </w:r>
      <w:r w:rsidRPr="00A6576F">
        <w:rPr>
          <w:rFonts w:ascii="Times New Roman" w:hAnsi="Times New Roman"/>
        </w:rPr>
        <w:t xml:space="preserve"> could increase SS frequency.</w:t>
      </w:r>
    </w:p>
    <w:p w14:paraId="469C0C33" w14:textId="77777777" w:rsidR="009818B3" w:rsidRPr="00A6576F" w:rsidRDefault="009818B3" w:rsidP="00C7129C">
      <w:pPr>
        <w:rPr>
          <w:sz w:val="22"/>
        </w:rPr>
      </w:pPr>
    </w:p>
    <w:p w14:paraId="7018DC3A" w14:textId="3C68401C" w:rsidR="00892BC9" w:rsidRDefault="00145FE2" w:rsidP="00145FE2">
      <w:pPr>
        <w:rPr>
          <w:rFonts w:eastAsia="SimSun"/>
          <w:b/>
          <w:i/>
          <w:sz w:val="22"/>
          <w:szCs w:val="22"/>
        </w:rPr>
      </w:pPr>
      <w:r w:rsidRPr="00A6576F">
        <w:rPr>
          <w:rFonts w:eastAsia="SimSun"/>
          <w:b/>
          <w:bCs/>
          <w:i/>
          <w:sz w:val="22"/>
          <w:szCs w:val="22"/>
          <w:u w:val="single"/>
        </w:rPr>
        <w:t>Proposal 4</w:t>
      </w:r>
      <w:r w:rsidRPr="00A6576F">
        <w:rPr>
          <w:rFonts w:eastAsia="SimSun"/>
          <w:bCs/>
          <w:i/>
          <w:szCs w:val="22"/>
        </w:rPr>
        <w:t xml:space="preserve">: </w:t>
      </w:r>
      <w:r w:rsidRPr="00A6576F">
        <w:rPr>
          <w:rFonts w:eastAsia="SimSun"/>
          <w:b/>
          <w:i/>
          <w:sz w:val="22"/>
          <w:szCs w:val="22"/>
        </w:rPr>
        <w:t>Overhead associated with LAAT procedure should be optimized based on multiple factors, including but not limited to</w:t>
      </w:r>
      <w:r w:rsidR="00A6576F">
        <w:rPr>
          <w:rFonts w:eastAsia="SimSun"/>
          <w:b/>
          <w:i/>
          <w:sz w:val="22"/>
          <w:szCs w:val="22"/>
        </w:rPr>
        <w:t xml:space="preserve"> device</w:t>
      </w:r>
      <w:r w:rsidR="00A6576F" w:rsidRPr="00A6576F">
        <w:rPr>
          <w:sz w:val="22"/>
        </w:rPr>
        <w:t xml:space="preserve"> </w:t>
      </w:r>
      <w:r w:rsidRPr="00A6576F">
        <w:rPr>
          <w:rFonts w:eastAsia="SimSun"/>
          <w:b/>
          <w:i/>
          <w:sz w:val="22"/>
          <w:szCs w:val="22"/>
        </w:rPr>
        <w:t>speed, message priority and LAAT results.</w:t>
      </w:r>
    </w:p>
    <w:p w14:paraId="5A024D32" w14:textId="348CB22B" w:rsidR="006A5E99" w:rsidRDefault="006A5E99" w:rsidP="00892BC9">
      <w:pPr>
        <w:pStyle w:val="Heading1"/>
      </w:pPr>
      <w:r>
        <w:t xml:space="preserve">Adaptive V2X </w:t>
      </w:r>
      <w:r w:rsidR="00422C2F">
        <w:t>R</w:t>
      </w:r>
      <w:r>
        <w:t xml:space="preserve">eporting and </w:t>
      </w:r>
      <w:r w:rsidR="00A910A2">
        <w:t>C</w:t>
      </w:r>
      <w:r>
        <w:t>DRX configuration</w:t>
      </w:r>
    </w:p>
    <w:p w14:paraId="021F6348" w14:textId="77777777" w:rsidR="00C4324D" w:rsidRDefault="009B5B37" w:rsidP="009B5B37">
      <w:pPr>
        <w:rPr>
          <w:sz w:val="22"/>
        </w:rPr>
      </w:pPr>
      <w:r w:rsidRPr="009B5B37">
        <w:rPr>
          <w:sz w:val="22"/>
        </w:rPr>
        <w:t>In V2X systems, all users are required to send safety/event/position info via PC5/uU interface</w:t>
      </w:r>
      <w:r>
        <w:rPr>
          <w:sz w:val="22"/>
        </w:rPr>
        <w:t>. This means e</w:t>
      </w:r>
      <w:r w:rsidRPr="009B5B37">
        <w:rPr>
          <w:sz w:val="22"/>
        </w:rPr>
        <w:t>very UE needs to turn on UL from time to time for transmission and monitor DL</w:t>
      </w:r>
      <w:r>
        <w:rPr>
          <w:sz w:val="22"/>
        </w:rPr>
        <w:t xml:space="preserve"> </w:t>
      </w:r>
      <w:r w:rsidRPr="009B5B37">
        <w:rPr>
          <w:sz w:val="22"/>
        </w:rPr>
        <w:t>to obtain the saf</w:t>
      </w:r>
      <w:r>
        <w:rPr>
          <w:sz w:val="22"/>
        </w:rPr>
        <w:t>e</w:t>
      </w:r>
      <w:r w:rsidRPr="009B5B37">
        <w:rPr>
          <w:sz w:val="22"/>
        </w:rPr>
        <w:t xml:space="preserve">ty/event/position information from other UEs or </w:t>
      </w:r>
      <w:r>
        <w:rPr>
          <w:sz w:val="22"/>
        </w:rPr>
        <w:t>B</w:t>
      </w:r>
      <w:r w:rsidRPr="009B5B37">
        <w:rPr>
          <w:sz w:val="22"/>
        </w:rPr>
        <w:t>ase</w:t>
      </w:r>
      <w:r>
        <w:rPr>
          <w:sz w:val="22"/>
        </w:rPr>
        <w:t xml:space="preserve"> S</w:t>
      </w:r>
      <w:r w:rsidRPr="009B5B37">
        <w:rPr>
          <w:sz w:val="22"/>
        </w:rPr>
        <w:t>tation</w:t>
      </w:r>
      <w:r>
        <w:rPr>
          <w:sz w:val="22"/>
        </w:rPr>
        <w:t>. Clearly, UE needs to consumption more power if UE is required to transmit or m</w:t>
      </w:r>
      <w:r w:rsidRPr="009B5B37">
        <w:rPr>
          <w:sz w:val="22"/>
        </w:rPr>
        <w:t>onito</w:t>
      </w:r>
      <w:r>
        <w:rPr>
          <w:sz w:val="22"/>
        </w:rPr>
        <w:t>r</w:t>
      </w:r>
      <w:r w:rsidRPr="009B5B37">
        <w:rPr>
          <w:sz w:val="22"/>
        </w:rPr>
        <w:t xml:space="preserve"> traffic </w:t>
      </w:r>
      <w:r>
        <w:rPr>
          <w:sz w:val="22"/>
        </w:rPr>
        <w:t xml:space="preserve">more frequently. </w:t>
      </w:r>
      <w:r w:rsidRPr="009B5B37">
        <w:rPr>
          <w:sz w:val="22"/>
        </w:rPr>
        <w:t xml:space="preserve">This </w:t>
      </w:r>
      <w:r>
        <w:rPr>
          <w:sz w:val="22"/>
        </w:rPr>
        <w:t>may not be</w:t>
      </w:r>
      <w:r w:rsidRPr="009B5B37">
        <w:rPr>
          <w:sz w:val="22"/>
        </w:rPr>
        <w:t xml:space="preserve"> a problem for vehicle </w:t>
      </w:r>
      <w:r w:rsidRPr="009B5B37">
        <w:rPr>
          <w:sz w:val="22"/>
        </w:rPr>
        <w:lastRenderedPageBreak/>
        <w:t xml:space="preserve">users or </w:t>
      </w:r>
      <w:r w:rsidR="00AB34CD">
        <w:rPr>
          <w:sz w:val="22"/>
        </w:rPr>
        <w:t>B</w:t>
      </w:r>
      <w:r w:rsidRPr="009B5B37">
        <w:rPr>
          <w:sz w:val="22"/>
        </w:rPr>
        <w:t xml:space="preserve">ase </w:t>
      </w:r>
      <w:r w:rsidR="00AB34CD">
        <w:rPr>
          <w:sz w:val="22"/>
        </w:rPr>
        <w:t>S</w:t>
      </w:r>
      <w:r w:rsidRPr="009B5B37">
        <w:rPr>
          <w:sz w:val="22"/>
        </w:rPr>
        <w:t>tation/road side unit (RSU)</w:t>
      </w:r>
      <w:r w:rsidR="00C4324D">
        <w:rPr>
          <w:sz w:val="22"/>
        </w:rPr>
        <w:t>. However, f</w:t>
      </w:r>
      <w:r w:rsidRPr="009B5B37">
        <w:rPr>
          <w:sz w:val="22"/>
        </w:rPr>
        <w:t xml:space="preserve">or pedestrian users (PUEs) that are protected by V2X service through cellphone or wearable devices, power consumption </w:t>
      </w:r>
      <w:r w:rsidR="00C4324D">
        <w:rPr>
          <w:sz w:val="22"/>
        </w:rPr>
        <w:t>is also crucial performance metric.</w:t>
      </w:r>
    </w:p>
    <w:p w14:paraId="2079193D" w14:textId="77777777" w:rsidR="00C4324D" w:rsidRDefault="00C4324D" w:rsidP="009B5B37">
      <w:pPr>
        <w:rPr>
          <w:sz w:val="22"/>
        </w:rPr>
      </w:pPr>
    </w:p>
    <w:p w14:paraId="6686D52D" w14:textId="179A97AF" w:rsidR="00145FE2" w:rsidRDefault="00A910A2" w:rsidP="00511BFF">
      <w:pPr>
        <w:rPr>
          <w:sz w:val="22"/>
        </w:rPr>
      </w:pPr>
      <w:r>
        <w:rPr>
          <w:sz w:val="22"/>
        </w:rPr>
        <w:t>It is important to note that modern devices are equipped with advanced sensing system that may allow the UE to detect its own movement speed or even the speed of variation of the environment. If V2X system can take advantage of the advanced information at UE, the performance can be further improved. For example, f</w:t>
      </w:r>
      <w:r w:rsidRPr="00A910A2">
        <w:rPr>
          <w:sz w:val="22"/>
        </w:rPr>
        <w:t>or those UEs that are relative static and power limited, NW can reduce the periodicity of the messages so that less messages are sent by the UEs</w:t>
      </w:r>
      <w:r>
        <w:rPr>
          <w:sz w:val="22"/>
        </w:rPr>
        <w:t xml:space="preserve">. NW can also increase the CDRX cycle such that UE is allowed to wake up less often </w:t>
      </w:r>
      <w:r w:rsidR="00A14BA4">
        <w:rPr>
          <w:sz w:val="22"/>
        </w:rPr>
        <w:t xml:space="preserve">. </w:t>
      </w:r>
      <w:r w:rsidRPr="00A910A2">
        <w:rPr>
          <w:sz w:val="22"/>
        </w:rPr>
        <w:t xml:space="preserve">When </w:t>
      </w:r>
      <w:r w:rsidR="00A14BA4">
        <w:rPr>
          <w:sz w:val="22"/>
        </w:rPr>
        <w:t>UE mobility condition changes</w:t>
      </w:r>
      <w:r w:rsidRPr="00A910A2">
        <w:rPr>
          <w:sz w:val="22"/>
        </w:rPr>
        <w:t>, i.e., static to high speed, the periodicity should be brought back to the highest level</w:t>
      </w:r>
      <w:r w:rsidR="00511BFF">
        <w:rPr>
          <w:sz w:val="22"/>
        </w:rPr>
        <w:t xml:space="preserve">. </w:t>
      </w:r>
    </w:p>
    <w:p w14:paraId="20B9C3B5" w14:textId="1195B3E6" w:rsidR="00511BFF" w:rsidRDefault="00511BFF" w:rsidP="00511BFF">
      <w:pPr>
        <w:rPr>
          <w:sz w:val="22"/>
        </w:rPr>
      </w:pPr>
    </w:p>
    <w:p w14:paraId="3049AAB4" w14:textId="77777777" w:rsidR="007C47C9" w:rsidRDefault="007C47C9" w:rsidP="007C47C9">
      <w:pPr>
        <w:keepNext/>
      </w:pPr>
      <w:r w:rsidRPr="007C47C9">
        <w:rPr>
          <w:noProof/>
          <w:sz w:val="22"/>
        </w:rPr>
        <w:drawing>
          <wp:inline distT="0" distB="0" distL="0" distR="0" wp14:anchorId="15D22A6C" wp14:editId="0B4CA052">
            <wp:extent cx="6120765" cy="2411095"/>
            <wp:effectExtent l="0" t="0" r="63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411095"/>
                    </a:xfrm>
                    <a:prstGeom prst="rect">
                      <a:avLst/>
                    </a:prstGeom>
                  </pic:spPr>
                </pic:pic>
              </a:graphicData>
            </a:graphic>
          </wp:inline>
        </w:drawing>
      </w:r>
    </w:p>
    <w:p w14:paraId="38EE30C6" w14:textId="5A5D7585" w:rsidR="007C47C9" w:rsidRDefault="007C47C9" w:rsidP="007C47C9">
      <w:pPr>
        <w:pStyle w:val="Caption"/>
        <w:rPr>
          <w:sz w:val="22"/>
        </w:rPr>
      </w:pPr>
      <w:r w:rsidRPr="007C47C9">
        <w:rPr>
          <w:sz w:val="22"/>
        </w:rPr>
        <w:t xml:space="preserve">Figure </w:t>
      </w:r>
      <w:r w:rsidRPr="007C47C9">
        <w:rPr>
          <w:sz w:val="22"/>
        </w:rPr>
        <w:fldChar w:fldCharType="begin"/>
      </w:r>
      <w:r w:rsidRPr="007C47C9">
        <w:rPr>
          <w:sz w:val="22"/>
        </w:rPr>
        <w:instrText xml:space="preserve"> SEQ Figure \* ARABIC </w:instrText>
      </w:r>
      <w:r w:rsidRPr="007C47C9">
        <w:rPr>
          <w:sz w:val="22"/>
        </w:rPr>
        <w:fldChar w:fldCharType="separate"/>
      </w:r>
      <w:r w:rsidRPr="007C47C9">
        <w:rPr>
          <w:noProof/>
          <w:sz w:val="22"/>
        </w:rPr>
        <w:t>5</w:t>
      </w:r>
      <w:r w:rsidRPr="007C47C9">
        <w:rPr>
          <w:sz w:val="22"/>
        </w:rPr>
        <w:fldChar w:fldCharType="end"/>
      </w:r>
      <w:r w:rsidRPr="007C47C9">
        <w:rPr>
          <w:sz w:val="22"/>
        </w:rPr>
        <w:t xml:space="preserve"> Adaptive V2X reporting and CDRX configuration</w:t>
      </w:r>
    </w:p>
    <w:p w14:paraId="510FE817" w14:textId="5F3B4BD7" w:rsidR="007C47C9" w:rsidRPr="007C47C9" w:rsidRDefault="007C47C9" w:rsidP="007C47C9">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5</w:t>
      </w:r>
      <w:r w:rsidRPr="00A6576F">
        <w:rPr>
          <w:rFonts w:eastAsia="SimSun"/>
          <w:bCs/>
          <w:i/>
          <w:szCs w:val="22"/>
        </w:rPr>
        <w:t xml:space="preserve">: </w:t>
      </w:r>
      <w:r w:rsidRPr="00A6576F">
        <w:rPr>
          <w:rFonts w:eastAsia="SimSun"/>
          <w:b/>
          <w:i/>
          <w:sz w:val="22"/>
          <w:szCs w:val="22"/>
        </w:rPr>
        <w:t xml:space="preserve">NR V2X to consider </w:t>
      </w:r>
      <w:r w:rsidR="00B4744D">
        <w:rPr>
          <w:rFonts w:eastAsia="SimSun"/>
          <w:b/>
          <w:i/>
          <w:sz w:val="22"/>
          <w:szCs w:val="22"/>
        </w:rPr>
        <w:t>adapt</w:t>
      </w:r>
      <w:r w:rsidR="00877D05">
        <w:rPr>
          <w:rFonts w:eastAsia="SimSun"/>
          <w:b/>
          <w:i/>
          <w:sz w:val="22"/>
          <w:szCs w:val="22"/>
        </w:rPr>
        <w:t xml:space="preserve"> the reporting and CDRX configuration based on UE speed, etc., </w:t>
      </w:r>
      <w:r w:rsidR="006B353D">
        <w:rPr>
          <w:rFonts w:eastAsia="SimSun"/>
          <w:b/>
          <w:i/>
          <w:sz w:val="22"/>
          <w:szCs w:val="22"/>
        </w:rPr>
        <w:t>e.g.</w:t>
      </w:r>
      <w:r w:rsidR="001F7752">
        <w:rPr>
          <w:rFonts w:eastAsia="SimSun"/>
          <w:b/>
          <w:i/>
          <w:sz w:val="22"/>
          <w:szCs w:val="22"/>
        </w:rPr>
        <w:t xml:space="preserve"> by </w:t>
      </w:r>
      <w:r>
        <w:rPr>
          <w:rFonts w:eastAsia="SimSun"/>
          <w:b/>
          <w:i/>
          <w:sz w:val="22"/>
          <w:szCs w:val="22"/>
        </w:rPr>
        <w:t>allow</w:t>
      </w:r>
      <w:r w:rsidR="00877D05">
        <w:rPr>
          <w:rFonts w:eastAsia="SimSun"/>
          <w:b/>
          <w:i/>
          <w:sz w:val="22"/>
          <w:szCs w:val="22"/>
        </w:rPr>
        <w:t>ing</w:t>
      </w:r>
      <w:r>
        <w:rPr>
          <w:rFonts w:eastAsia="SimSun"/>
          <w:b/>
          <w:i/>
          <w:sz w:val="22"/>
          <w:szCs w:val="22"/>
        </w:rPr>
        <w:t xml:space="preserve"> UE </w:t>
      </w:r>
      <w:r w:rsidR="00877D05">
        <w:rPr>
          <w:rFonts w:eastAsia="SimSun"/>
          <w:b/>
          <w:i/>
          <w:sz w:val="22"/>
          <w:szCs w:val="22"/>
        </w:rPr>
        <w:t xml:space="preserve">to </w:t>
      </w:r>
      <w:r>
        <w:rPr>
          <w:rFonts w:eastAsia="SimSun"/>
          <w:b/>
          <w:i/>
          <w:sz w:val="22"/>
          <w:szCs w:val="22"/>
        </w:rPr>
        <w:t>feedback preferred reporting and CDRX configuration</w:t>
      </w:r>
      <w:r w:rsidR="00877D05">
        <w:rPr>
          <w:rFonts w:eastAsia="SimSun"/>
          <w:b/>
          <w:i/>
          <w:sz w:val="22"/>
          <w:szCs w:val="22"/>
        </w:rPr>
        <w:t>.</w:t>
      </w:r>
    </w:p>
    <w:p w14:paraId="2896E657" w14:textId="2DF29AD0" w:rsidR="00854A60" w:rsidRPr="00A6576F" w:rsidRDefault="009C5A97" w:rsidP="00FB330B">
      <w:pPr>
        <w:pStyle w:val="Heading1"/>
      </w:pPr>
      <w:r w:rsidRPr="00A6576F">
        <w:t>Conclusion</w:t>
      </w:r>
    </w:p>
    <w:p w14:paraId="07316DFC" w14:textId="3A204A56" w:rsidR="00467B8C" w:rsidRPr="00A6576F" w:rsidRDefault="00467B8C" w:rsidP="00467B8C">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higher data rate, lower latency and higher reliability. In this contribution, we propose a</w:t>
      </w:r>
      <w:r w:rsidR="00D64024" w:rsidRPr="00A6576F">
        <w:rPr>
          <w:rFonts w:eastAsia="MS Mincho"/>
          <w:sz w:val="22"/>
          <w:szCs w:val="22"/>
          <w:lang w:eastAsia="ja-JP"/>
        </w:rPr>
        <w:t>n</w:t>
      </w:r>
      <w:r w:rsidRPr="00A6576F">
        <w:rPr>
          <w:rFonts w:eastAsia="MS Mincho"/>
          <w:sz w:val="22"/>
          <w:szCs w:val="22"/>
          <w:lang w:eastAsia="ja-JP"/>
        </w:rPr>
        <w:t xml:space="preserve"> enhancement to traditional LBT procedure </w:t>
      </w:r>
      <w:r w:rsidR="000D1D69" w:rsidRPr="00A6576F">
        <w:rPr>
          <w:rFonts w:eastAsia="MS Mincho"/>
          <w:sz w:val="22"/>
          <w:szCs w:val="22"/>
          <w:lang w:eastAsia="ja-JP"/>
        </w:rPr>
        <w:t xml:space="preserve">which allows the </w:t>
      </w:r>
      <w:r w:rsidR="001F07D8">
        <w:rPr>
          <w:rFonts w:eastAsia="MS Mincho"/>
          <w:sz w:val="22"/>
          <w:szCs w:val="22"/>
          <w:lang w:eastAsia="ja-JP"/>
        </w:rPr>
        <w:t>device</w:t>
      </w:r>
      <w:r w:rsidR="000D1D69" w:rsidRPr="00A6576F">
        <w:rPr>
          <w:rFonts w:eastAsia="MS Mincho"/>
          <w:sz w:val="22"/>
          <w:szCs w:val="22"/>
          <w:lang w:eastAsia="ja-JP"/>
        </w:rPr>
        <w:t xml:space="preserve"> to detect collision during the Channel Occupancy Time (COT). W</w:t>
      </w:r>
      <w:r w:rsidRPr="00A6576F">
        <w:rPr>
          <w:rFonts w:eastAsia="MS Mincho"/>
          <w:sz w:val="22"/>
          <w:szCs w:val="22"/>
          <w:lang w:eastAsia="ja-JP"/>
        </w:rPr>
        <w:t xml:space="preserve">e </w:t>
      </w:r>
      <w:r w:rsidR="000D1D69" w:rsidRPr="00A6576F">
        <w:rPr>
          <w:rFonts w:eastAsia="MS Mincho"/>
          <w:sz w:val="22"/>
          <w:szCs w:val="22"/>
          <w:lang w:eastAsia="ja-JP"/>
        </w:rPr>
        <w:t xml:space="preserve">denote the scheme as </w:t>
      </w:r>
      <w:r w:rsidRPr="00A6576F">
        <w:rPr>
          <w:rFonts w:eastAsia="MS Mincho"/>
          <w:sz w:val="22"/>
          <w:szCs w:val="22"/>
          <w:lang w:eastAsia="ja-JP"/>
        </w:rPr>
        <w:t xml:space="preserve">Listen Again After Talk (LAAT).  </w:t>
      </w:r>
    </w:p>
    <w:p w14:paraId="31745016" w14:textId="77777777" w:rsidR="00E32950" w:rsidRPr="00A6576F" w:rsidRDefault="00E32950" w:rsidP="000A1967">
      <w:pPr>
        <w:rPr>
          <w:rFonts w:eastAsia="MS Mincho"/>
          <w:sz w:val="22"/>
          <w:szCs w:val="22"/>
          <w:lang w:eastAsia="ja-JP"/>
        </w:rPr>
      </w:pPr>
    </w:p>
    <w:p w14:paraId="56311B75" w14:textId="612D173D" w:rsidR="00E32950" w:rsidRPr="00A6576F" w:rsidRDefault="003031F8" w:rsidP="000A1967">
      <w:pPr>
        <w:rPr>
          <w:rFonts w:eastAsia="MS Mincho"/>
          <w:sz w:val="22"/>
          <w:szCs w:val="22"/>
          <w:lang w:eastAsia="ja-JP"/>
        </w:rPr>
      </w:pPr>
      <w:r w:rsidRPr="00A6576F">
        <w:rPr>
          <w:rFonts w:eastAsia="MS Mincho"/>
          <w:sz w:val="22"/>
          <w:szCs w:val="22"/>
          <w:lang w:eastAsia="ja-JP"/>
        </w:rPr>
        <w:t xml:space="preserve">We have the following </w:t>
      </w:r>
      <w:r w:rsidR="00532096" w:rsidRPr="00A6576F">
        <w:rPr>
          <w:rFonts w:eastAsia="MS Mincho"/>
          <w:sz w:val="22"/>
          <w:szCs w:val="22"/>
          <w:lang w:eastAsia="ja-JP"/>
        </w:rPr>
        <w:t>prop</w:t>
      </w:r>
      <w:r w:rsidR="00890DC7" w:rsidRPr="00A6576F">
        <w:rPr>
          <w:rFonts w:eastAsia="MS Mincho"/>
          <w:sz w:val="22"/>
          <w:szCs w:val="22"/>
          <w:lang w:eastAsia="ja-JP"/>
        </w:rPr>
        <w:t>o</w:t>
      </w:r>
      <w:r w:rsidR="00532096" w:rsidRPr="00A6576F">
        <w:rPr>
          <w:rFonts w:eastAsia="MS Mincho"/>
          <w:sz w:val="22"/>
          <w:szCs w:val="22"/>
          <w:lang w:eastAsia="ja-JP"/>
        </w:rPr>
        <w:t>sals</w:t>
      </w:r>
    </w:p>
    <w:p w14:paraId="63C2DBF3" w14:textId="77777777" w:rsidR="00832848" w:rsidRPr="00A6576F" w:rsidRDefault="00832848" w:rsidP="000A1967">
      <w:pPr>
        <w:rPr>
          <w:rFonts w:eastAsia="MS Mincho"/>
          <w:sz w:val="22"/>
          <w:szCs w:val="22"/>
          <w:lang w:eastAsia="ja-JP"/>
        </w:rPr>
      </w:pPr>
    </w:p>
    <w:p w14:paraId="47B4F804" w14:textId="77777777" w:rsidR="00832848" w:rsidRPr="00A6576F" w:rsidRDefault="00832848" w:rsidP="00832848">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NR V2X to consider support Listen Again After Talk (LAAT) enhancement to the LBT procedure</w:t>
      </w:r>
    </w:p>
    <w:p w14:paraId="049B8CB8" w14:textId="77777777" w:rsidR="00832848" w:rsidRPr="00A6576F" w:rsidRDefault="00832848" w:rsidP="00832848">
      <w:pPr>
        <w:rPr>
          <w:rFonts w:eastAsia="SimSun"/>
          <w:b/>
          <w:i/>
          <w:sz w:val="22"/>
          <w:szCs w:val="22"/>
        </w:rPr>
      </w:pPr>
    </w:p>
    <w:p w14:paraId="5E722B76" w14:textId="0BC8B799" w:rsidR="00832848" w:rsidRPr="00A6576F" w:rsidRDefault="00832848" w:rsidP="00832848">
      <w:pPr>
        <w:rPr>
          <w:rFonts w:eastAsia="SimSun"/>
          <w:b/>
          <w:i/>
          <w:sz w:val="22"/>
          <w:szCs w:val="22"/>
        </w:rPr>
      </w:pPr>
      <w:r w:rsidRPr="00A6576F">
        <w:rPr>
          <w:rFonts w:eastAsia="SimSun"/>
          <w:b/>
          <w:bCs/>
          <w:i/>
          <w:sz w:val="22"/>
          <w:szCs w:val="22"/>
          <w:u w:val="single"/>
        </w:rPr>
        <w:t>Proposal 2</w:t>
      </w:r>
      <w:r w:rsidRPr="00A6576F">
        <w:rPr>
          <w:rFonts w:eastAsia="SimSun"/>
          <w:bCs/>
          <w:i/>
          <w:szCs w:val="22"/>
        </w:rPr>
        <w:t xml:space="preserve">: </w:t>
      </w:r>
      <w:r w:rsidRPr="00A6576F">
        <w:rPr>
          <w:rFonts w:eastAsia="SimSun"/>
          <w:b/>
          <w:i/>
          <w:sz w:val="22"/>
          <w:szCs w:val="22"/>
        </w:rPr>
        <w:t xml:space="preserve">To support LAAT, NR V2X utilizes the slot format that allows Tx/Rx switching within </w:t>
      </w:r>
      <w:r w:rsidR="00A43A6F">
        <w:rPr>
          <w:rFonts w:eastAsia="SimSun"/>
          <w:b/>
          <w:i/>
          <w:sz w:val="22"/>
          <w:szCs w:val="22"/>
        </w:rPr>
        <w:t>a</w:t>
      </w:r>
      <w:r w:rsidRPr="00A6576F">
        <w:rPr>
          <w:rFonts w:eastAsia="SimSun"/>
          <w:b/>
          <w:i/>
          <w:sz w:val="22"/>
          <w:szCs w:val="22"/>
        </w:rPr>
        <w:t xml:space="preserve"> slot</w:t>
      </w:r>
    </w:p>
    <w:p w14:paraId="03847FEC" w14:textId="77777777" w:rsidR="00832848" w:rsidRPr="00A6576F" w:rsidRDefault="00832848" w:rsidP="000A1967">
      <w:pPr>
        <w:rPr>
          <w:rFonts w:eastAsia="MS Mincho"/>
          <w:sz w:val="22"/>
          <w:szCs w:val="22"/>
          <w:lang w:eastAsia="ja-JP"/>
        </w:rPr>
      </w:pPr>
    </w:p>
    <w:p w14:paraId="2B40B6EF" w14:textId="2D243E0E" w:rsidR="00EC2CE4" w:rsidRPr="00A6576F" w:rsidRDefault="00832848" w:rsidP="00854A60">
      <w:pPr>
        <w:rPr>
          <w:rFonts w:eastAsia="SimSun"/>
          <w:b/>
          <w:i/>
          <w:sz w:val="22"/>
          <w:szCs w:val="22"/>
        </w:rPr>
      </w:pPr>
      <w:r w:rsidRPr="00A6576F">
        <w:rPr>
          <w:rFonts w:eastAsia="SimSun"/>
          <w:b/>
          <w:bCs/>
          <w:i/>
          <w:sz w:val="22"/>
          <w:szCs w:val="22"/>
          <w:u w:val="single"/>
        </w:rPr>
        <w:t>Proposal 3</w:t>
      </w:r>
      <w:r w:rsidRPr="00A6576F">
        <w:rPr>
          <w:rFonts w:eastAsia="SimSun"/>
          <w:bCs/>
          <w:i/>
          <w:szCs w:val="22"/>
        </w:rPr>
        <w:t xml:space="preserve">: </w:t>
      </w:r>
      <w:r w:rsidRPr="00A6576F">
        <w:rPr>
          <w:rFonts w:eastAsia="SimSun"/>
          <w:b/>
          <w:i/>
          <w:sz w:val="22"/>
          <w:szCs w:val="22"/>
        </w:rPr>
        <w:t>To support LAAT, NR V2X device performs additional LBT if collision is detected during LAAT and adjust LAAT operation/configuration based on the LAAT result.</w:t>
      </w:r>
    </w:p>
    <w:p w14:paraId="1887CF31" w14:textId="77777777" w:rsidR="00832848" w:rsidRPr="00A6576F" w:rsidRDefault="00832848" w:rsidP="00854A60">
      <w:pPr>
        <w:rPr>
          <w:sz w:val="20"/>
          <w:szCs w:val="20"/>
        </w:rPr>
      </w:pPr>
    </w:p>
    <w:p w14:paraId="79F5D787" w14:textId="43885B2C" w:rsidR="00F25BBA" w:rsidRDefault="00F25BBA" w:rsidP="00F25BBA">
      <w:pPr>
        <w:rPr>
          <w:rFonts w:eastAsia="SimSun"/>
          <w:b/>
          <w:i/>
          <w:sz w:val="22"/>
          <w:szCs w:val="22"/>
        </w:rPr>
      </w:pPr>
      <w:r w:rsidRPr="00A6576F">
        <w:rPr>
          <w:rFonts w:eastAsia="SimSun"/>
          <w:b/>
          <w:bCs/>
          <w:i/>
          <w:sz w:val="22"/>
          <w:szCs w:val="22"/>
          <w:u w:val="single"/>
        </w:rPr>
        <w:t>Proposal 4</w:t>
      </w:r>
      <w:r w:rsidRPr="00A6576F">
        <w:rPr>
          <w:rFonts w:eastAsia="SimSun"/>
          <w:bCs/>
          <w:i/>
          <w:szCs w:val="22"/>
        </w:rPr>
        <w:t xml:space="preserve">: </w:t>
      </w:r>
      <w:r w:rsidRPr="00A6576F">
        <w:rPr>
          <w:rFonts w:eastAsia="SimSun"/>
          <w:b/>
          <w:i/>
          <w:sz w:val="22"/>
          <w:szCs w:val="22"/>
        </w:rPr>
        <w:t>Overhead associated with LAAT procedure should be optimized based on multiple factors, including but not limited to</w:t>
      </w:r>
      <w:r>
        <w:rPr>
          <w:rFonts w:eastAsia="SimSun"/>
          <w:b/>
          <w:i/>
          <w:sz w:val="22"/>
          <w:szCs w:val="22"/>
        </w:rPr>
        <w:t xml:space="preserve"> device</w:t>
      </w:r>
      <w:r w:rsidRPr="00A6576F">
        <w:rPr>
          <w:sz w:val="22"/>
        </w:rPr>
        <w:t xml:space="preserve"> </w:t>
      </w:r>
      <w:r w:rsidRPr="00A6576F">
        <w:rPr>
          <w:rFonts w:eastAsia="SimSun"/>
          <w:b/>
          <w:i/>
          <w:sz w:val="22"/>
          <w:szCs w:val="22"/>
        </w:rPr>
        <w:t>speed, message priority and LAAT results.</w:t>
      </w:r>
    </w:p>
    <w:p w14:paraId="7E68CD9F" w14:textId="77777777" w:rsidR="00DB7C7B" w:rsidRDefault="00DB7C7B" w:rsidP="00840E28">
      <w:pPr>
        <w:rPr>
          <w:rFonts w:eastAsia="SimSun"/>
          <w:b/>
          <w:bCs/>
          <w:i/>
          <w:sz w:val="22"/>
          <w:szCs w:val="22"/>
          <w:u w:val="single"/>
        </w:rPr>
      </w:pPr>
    </w:p>
    <w:p w14:paraId="611E8E4F" w14:textId="15A54134" w:rsidR="00840E28" w:rsidRPr="00A6576F" w:rsidRDefault="00840E28" w:rsidP="00F25BBA">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5</w:t>
      </w:r>
      <w:r w:rsidRPr="00A6576F">
        <w:rPr>
          <w:rFonts w:eastAsia="SimSun"/>
          <w:bCs/>
          <w:i/>
          <w:szCs w:val="22"/>
        </w:rPr>
        <w:t xml:space="preserve">: </w:t>
      </w:r>
      <w:r w:rsidRPr="00A6576F">
        <w:rPr>
          <w:rFonts w:eastAsia="SimSun"/>
          <w:b/>
          <w:i/>
          <w:sz w:val="22"/>
          <w:szCs w:val="22"/>
        </w:rPr>
        <w:t xml:space="preserve">NR V2X to consider </w:t>
      </w:r>
      <w:r>
        <w:rPr>
          <w:rFonts w:eastAsia="SimSun"/>
          <w:b/>
          <w:i/>
          <w:sz w:val="22"/>
          <w:szCs w:val="22"/>
        </w:rPr>
        <w:t>adapt the reporting and CDRX configuration based on UE speed, etc., e.g. by allowing UE to feedback preferred reporting and CDRX configuration.</w:t>
      </w:r>
    </w:p>
    <w:p w14:paraId="2E75F001" w14:textId="77777777" w:rsidR="007E70BB" w:rsidRPr="00A6576F" w:rsidRDefault="005C63AE" w:rsidP="007E70BB">
      <w:pPr>
        <w:pStyle w:val="Heading1"/>
      </w:pPr>
      <w:r w:rsidRPr="00A6576F">
        <w:lastRenderedPageBreak/>
        <w:t>References</w:t>
      </w:r>
    </w:p>
    <w:p w14:paraId="7BF02EC0" w14:textId="77777777" w:rsidR="00AA0496" w:rsidRPr="00353F14" w:rsidRDefault="00AA0496" w:rsidP="00AA0496">
      <w:pPr>
        <w:numPr>
          <w:ilvl w:val="0"/>
          <w:numId w:val="10"/>
        </w:numPr>
        <w:tabs>
          <w:tab w:val="clear" w:pos="657"/>
        </w:tabs>
        <w:overflowPunct w:val="0"/>
        <w:autoSpaceDE w:val="0"/>
        <w:autoSpaceDN w:val="0"/>
        <w:adjustRightInd w:val="0"/>
        <w:spacing w:before="100" w:beforeAutospacing="1" w:after="100" w:afterAutospacing="1"/>
        <w:ind w:left="567"/>
        <w:textAlignment w:val="baseline"/>
        <w:rPr>
          <w:sz w:val="22"/>
          <w:szCs w:val="22"/>
        </w:rPr>
      </w:pPr>
      <w:bookmarkStart w:id="1" w:name="_Ref485064906"/>
      <w:r w:rsidRPr="00353F14">
        <w:rPr>
          <w:sz w:val="22"/>
          <w:szCs w:val="22"/>
        </w:rPr>
        <w:t>RP-190766</w:t>
      </w:r>
      <w:r>
        <w:rPr>
          <w:sz w:val="22"/>
          <w:szCs w:val="22"/>
        </w:rPr>
        <w:t>, “</w:t>
      </w:r>
      <w:r w:rsidRPr="00353F14">
        <w:rPr>
          <w:sz w:val="22"/>
          <w:szCs w:val="22"/>
        </w:rPr>
        <w:t xml:space="preserve">New WID on 5G V2X with NR sidelink </w:t>
      </w:r>
      <w:r>
        <w:rPr>
          <w:sz w:val="22"/>
          <w:szCs w:val="22"/>
        </w:rPr>
        <w:t xml:space="preserve">“, </w:t>
      </w:r>
      <w:r w:rsidRPr="00353F14">
        <w:rPr>
          <w:sz w:val="22"/>
          <w:szCs w:val="22"/>
        </w:rPr>
        <w:t>3GPP TSG RAN Meeting #83</w:t>
      </w:r>
      <w:r>
        <w:rPr>
          <w:sz w:val="22"/>
          <w:szCs w:val="22"/>
        </w:rPr>
        <w:t xml:space="preserve">, </w:t>
      </w:r>
      <w:r w:rsidRPr="00353F14">
        <w:rPr>
          <w:sz w:val="22"/>
          <w:szCs w:val="22"/>
        </w:rPr>
        <w:t>Shenzhen, China, March 18-21, 2019</w:t>
      </w:r>
      <w:r w:rsidRPr="00353F14">
        <w:rPr>
          <w:sz w:val="22"/>
          <w:szCs w:val="22"/>
        </w:rPr>
        <w:tab/>
      </w:r>
    </w:p>
    <w:bookmarkEnd w:id="1"/>
    <w:p w14:paraId="5A10687C" w14:textId="63982C77" w:rsidR="00720D6E" w:rsidRPr="00A6576F" w:rsidRDefault="00827B85"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ab/>
      </w:r>
      <w:r w:rsidR="00720D6E" w:rsidRPr="00A6576F">
        <w:rPr>
          <w:sz w:val="22"/>
          <w:szCs w:val="22"/>
        </w:rPr>
        <w:t>3GPP TR 22.886, “Study on enhancement of 3GPP Support for 5G V2X Services”, V15.2.0, Jun 2018</w:t>
      </w:r>
    </w:p>
    <w:p w14:paraId="428555AE" w14:textId="47BDC607"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TS 22.186, “Enhancement of 3GPP support for V2X scenarios; Stage 1”, V15.3.0, June 2018</w:t>
      </w:r>
    </w:p>
    <w:p w14:paraId="13A7E131" w14:textId="47B9B1D7" w:rsidR="0026639E" w:rsidRPr="0026639E" w:rsidRDefault="00C82871" w:rsidP="0026639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26639E">
        <w:rPr>
          <w:sz w:val="22"/>
          <w:szCs w:val="22"/>
        </w:rPr>
        <w:t xml:space="preserve">Chairman notes, 3GPP TSG RAN WG1 Meeting #94, </w:t>
      </w:r>
      <w:r w:rsidR="0026639E" w:rsidRPr="0026639E">
        <w:rPr>
          <w:sz w:val="22"/>
          <w:szCs w:val="22"/>
        </w:rPr>
        <w:t xml:space="preserve">Gothenburg, Sweden, August 20th – 24th, 2018 </w:t>
      </w:r>
    </w:p>
    <w:p w14:paraId="321EDCE1" w14:textId="445921D2" w:rsidR="00C82871" w:rsidRDefault="00C82871" w:rsidP="00C82871">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#95</w:t>
      </w:r>
      <w:r>
        <w:rPr>
          <w:sz w:val="22"/>
          <w:szCs w:val="22"/>
        </w:rPr>
        <w:t xml:space="preserve">, </w:t>
      </w:r>
      <w:r w:rsidRPr="00730860">
        <w:rPr>
          <w:sz w:val="22"/>
          <w:szCs w:val="22"/>
        </w:rPr>
        <w:t>Spokane, USA, 12th – 16h November 2018</w:t>
      </w:r>
    </w:p>
    <w:p w14:paraId="2710DB3F" w14:textId="77777777" w:rsidR="00572656" w:rsidRPr="00ED0762" w:rsidRDefault="00572656" w:rsidP="00572656">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w:t>
      </w:r>
      <w:r>
        <w:rPr>
          <w:sz w:val="22"/>
          <w:szCs w:val="22"/>
        </w:rPr>
        <w:t xml:space="preserve">AH1, </w:t>
      </w:r>
      <w:r w:rsidRPr="00AC239B">
        <w:rPr>
          <w:sz w:val="22"/>
          <w:szCs w:val="22"/>
        </w:rPr>
        <w:t>Taipei, Taiwan, 21st – 25th January, 2019</w:t>
      </w:r>
    </w:p>
    <w:p w14:paraId="2A735F04" w14:textId="77777777" w:rsidR="00572656" w:rsidRPr="00C82871" w:rsidRDefault="00572656" w:rsidP="00572656">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rsidP="00D4576B">
      <w:pPr>
        <w:overflowPunct w:val="0"/>
        <w:autoSpaceDE w:val="0"/>
        <w:autoSpaceDN w:val="0"/>
        <w:adjustRightInd w:val="0"/>
        <w:spacing w:before="100" w:beforeAutospacing="1" w:after="100" w:afterAutospacing="1"/>
        <w:textAlignment w:val="baseline"/>
        <w:rPr>
          <w:sz w:val="22"/>
          <w:szCs w:val="22"/>
        </w:rPr>
      </w:pPr>
    </w:p>
    <w:sectPr w:rsidR="00A6576F" w:rsidRPr="00A6576F" w:rsidSect="00827761">
      <w:footerReference w:type="defaul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8F2BE" w14:textId="77777777" w:rsidR="00AB61E3" w:rsidRDefault="00AB61E3">
      <w:r>
        <w:separator/>
      </w:r>
    </w:p>
  </w:endnote>
  <w:endnote w:type="continuationSeparator" w:id="0">
    <w:p w14:paraId="001441DC" w14:textId="77777777" w:rsidR="00AB61E3" w:rsidRDefault="00AB61E3">
      <w:r>
        <w:continuationSeparator/>
      </w:r>
    </w:p>
  </w:endnote>
  <w:endnote w:type="continuationNotice" w:id="1">
    <w:p w14:paraId="425B80DC" w14:textId="77777777" w:rsidR="00AB61E3" w:rsidRDefault="00AB61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79592" w14:textId="77777777" w:rsidR="00AB61E3" w:rsidRDefault="00AB61E3">
      <w:r>
        <w:separator/>
      </w:r>
    </w:p>
  </w:footnote>
  <w:footnote w:type="continuationSeparator" w:id="0">
    <w:p w14:paraId="3573DD37" w14:textId="77777777" w:rsidR="00AB61E3" w:rsidRDefault="00AB61E3">
      <w:r>
        <w:continuationSeparator/>
      </w:r>
    </w:p>
  </w:footnote>
  <w:footnote w:type="continuationNotice" w:id="1">
    <w:p w14:paraId="76DCBF68" w14:textId="77777777" w:rsidR="00AB61E3" w:rsidRDefault="00AB61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5"/>
  </w:num>
  <w:num w:numId="4">
    <w:abstractNumId w:val="6"/>
  </w:num>
  <w:num w:numId="5">
    <w:abstractNumId w:val="3"/>
  </w:num>
  <w:num w:numId="6">
    <w:abstractNumId w:val="8"/>
  </w:num>
  <w:num w:numId="7">
    <w:abstractNumId w:val="12"/>
  </w:num>
  <w:num w:numId="8">
    <w:abstractNumId w:val="4"/>
  </w:num>
  <w:num w:numId="9">
    <w:abstractNumId w:val="10"/>
  </w:num>
  <w:num w:numId="10">
    <w:abstractNumId w:val="0"/>
  </w:num>
  <w:num w:numId="11">
    <w:abstractNumId w:val="13"/>
  </w:num>
  <w:num w:numId="12">
    <w:abstractNumId w:val="2"/>
  </w:num>
  <w:num w:numId="13">
    <w:abstractNumId w:val="11"/>
  </w:num>
  <w:num w:numId="14">
    <w:abstractNumId w:val="7"/>
  </w:num>
  <w:num w:numId="15">
    <w:abstractNumId w:val="14"/>
  </w:num>
  <w:num w:numId="1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25E"/>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E565F-2174-E14B-B77E-3FB5BE78B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791</TotalTime>
  <Pages>6</Pages>
  <Words>2263</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1037</cp:revision>
  <cp:lastPrinted>2008-01-31T16:09:00Z</cp:lastPrinted>
  <dcterms:created xsi:type="dcterms:W3CDTF">2017-09-28T15:58:00Z</dcterms:created>
  <dcterms:modified xsi:type="dcterms:W3CDTF">2019-05-03T21:25:00Z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